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10bis                             </w:t>
      </w:r>
      <w:r>
        <w:rPr>
          <w:rFonts w:hint="default" w:ascii="Arial" w:hAnsi="Arial" w:cs="Arial"/>
          <w:b/>
          <w:color w:val="auto"/>
          <w:sz w:val="24"/>
          <w:lang w:val="en-US" w:eastAsia="zh-CN"/>
        </w:rPr>
        <w:t>R4-2</w:t>
      </w:r>
      <w:r>
        <w:rPr>
          <w:rFonts w:hint="eastAsia" w:cs="Arial"/>
          <w:b/>
          <w:color w:val="auto"/>
          <w:sz w:val="24"/>
          <w:lang w:val="en-US" w:eastAsia="zh-CN"/>
        </w:rPr>
        <w:t>405120</w:t>
      </w:r>
      <w:bookmarkStart w:id="0" w:name="_GoBack"/>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Changsha, China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15</w:t>
      </w:r>
      <w:r>
        <w:rPr>
          <w:rFonts w:ascii="Arial" w:hAnsi="Arial" w:eastAsia="宋体" w:cs="Arial"/>
          <w:b/>
          <w:sz w:val="24"/>
          <w:szCs w:val="24"/>
          <w:lang w:eastAsia="zh-CN"/>
        </w:rPr>
        <w:t xml:space="preserve"> – </w:t>
      </w:r>
      <w:r>
        <w:rPr>
          <w:rFonts w:hint="eastAsia" w:eastAsia="宋体" w:cs="Arial"/>
          <w:b/>
          <w:sz w:val="24"/>
          <w:szCs w:val="24"/>
          <w:lang w:val="en-US" w:eastAsia="zh-CN"/>
        </w:rPr>
        <w:t>19</w:t>
      </w:r>
      <w:r>
        <w:rPr>
          <w:rFonts w:ascii="Arial" w:hAnsi="Arial" w:eastAsia="宋体" w:cs="Arial"/>
          <w:b/>
          <w:sz w:val="24"/>
          <w:szCs w:val="24"/>
          <w:lang w:eastAsia="zh-CN"/>
        </w:rPr>
        <w:t>, 202</w:t>
      </w:r>
      <w:r>
        <w:rPr>
          <w:rFonts w:hint="eastAsia" w:eastAsia="宋体" w:cs="Arial"/>
          <w:b/>
          <w:sz w:val="24"/>
          <w:szCs w:val="24"/>
          <w:lang w:val="en-US" w:eastAsia="zh-CN"/>
        </w:rPr>
        <w:t>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9.14.3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Discussion</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In this contribution, we discussed the definition of LP-WUS power boosting and its impact. Considering that LP-WUS power boosting will result in the power reduction of the left NR signals in the same carrier and deteriorate NR coverage, we think it is necessary to set an upper bound for LP-WUS power boosting.</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w:t>
      </w:r>
      <w:r>
        <w:rPr>
          <w:rFonts w:hint="eastAsia" w:cs="Times New Roman"/>
          <w:b/>
          <w:bCs/>
          <w:i w:val="0"/>
          <w:iCs w:val="0"/>
          <w:sz w:val="20"/>
          <w:szCs w:val="20"/>
          <w:highlight w:val="none"/>
          <w:lang w:val="en-US" w:eastAsia="zh-CN"/>
        </w:rPr>
        <w:tab/>
      </w:r>
      <w:r>
        <w:rPr>
          <w:rFonts w:hint="eastAsia" w:cs="Times New Roman"/>
          <w:b/>
          <w:bCs/>
          <w:i w:val="0"/>
          <w:iCs w:val="0"/>
          <w:sz w:val="20"/>
          <w:szCs w:val="20"/>
          <w:highlight w:val="none"/>
          <w:lang w:val="en-US" w:eastAsia="zh-CN"/>
        </w:rPr>
        <w:t>Definition of LP-WUS power boosting</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LP-WUS power boosting is firstly introduced in RAN1</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s LS [1] in RAN4 #107 meeting, where power boosting is defined as the difference between the average power of LP-WUS REs and the average power of PDSCH REs:</w:t>
      </w:r>
    </w:p>
    <w:tbl>
      <w:tblPr>
        <w:tblStyle w:val="18"/>
        <w:tblW w:w="9258"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4" w:hRule="atLeast"/>
        </w:trPr>
        <w:tc>
          <w:tcPr>
            <w:tcW w:w="9258" w:type="dxa"/>
          </w:tcPr>
          <w:p>
            <w:pPr>
              <w:rPr>
                <w:lang w:eastAsia="zh-CN"/>
              </w:rPr>
            </w:pPr>
            <w:r>
              <w:rPr>
                <w:lang w:eastAsia="zh-CN"/>
              </w:rPr>
              <w:t xml:space="preserve">[RAN1 response] </w:t>
            </w:r>
          </w:p>
          <w:p>
            <w:pPr>
              <w:pStyle w:val="29"/>
              <w:numPr>
                <w:ilvl w:val="0"/>
                <w:numId w:val="4"/>
              </w:numPr>
              <w:ind w:left="0" w:leftChars="0" w:firstLine="400" w:firstLineChars="200"/>
              <w:rPr>
                <w:rFonts w:hint="default" w:ascii="Times New Roman" w:hAnsi="Times New Roman" w:cs="Times New Roman"/>
                <w:szCs w:val="20"/>
              </w:rPr>
            </w:pPr>
            <w:r>
              <w:rPr>
                <w:rFonts w:hint="eastAsia" w:ascii="Times New Roman" w:hAnsi="Times New Roman" w:eastAsia="Times New Roman" w:cs="Times New Roman"/>
                <w:kern w:val="0"/>
                <w:sz w:val="20"/>
                <w:szCs w:val="24"/>
                <w:lang w:val="en-US" w:eastAsia="zh-CN" w:bidi="ar-SA"/>
              </w:rPr>
              <w:t xml:space="preserve">RAN1 is </w:t>
            </w:r>
            <w:r>
              <w:rPr>
                <w:rFonts w:hint="default" w:ascii="Times New Roman" w:hAnsi="Times New Roman" w:eastAsia="Times New Roman" w:cs="Times New Roman"/>
                <w:kern w:val="0"/>
                <w:sz w:val="20"/>
                <w:szCs w:val="24"/>
                <w:lang w:val="en-US" w:eastAsia="zh-CN" w:bidi="ar-SA"/>
              </w:rPr>
              <w:t>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Style w:val="17"/>
              <w:tblW w:w="8510" w:type="dxa"/>
              <w:tblInd w:w="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01"/>
              <w:gridCol w:w="6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rPr>
              <w:tc>
                <w:tcPr>
                  <w:tcW w:w="1901" w:type="dxa"/>
                  <w:tcMar>
                    <w:top w:w="0" w:type="dxa"/>
                    <w:left w:w="108" w:type="dxa"/>
                    <w:bottom w:w="0" w:type="dxa"/>
                    <w:right w:w="108" w:type="dxa"/>
                  </w:tcMar>
                  <w:vAlign w:val="center"/>
                </w:tcPr>
                <w:p>
                  <w:r>
                    <w:t>Adjacent subcarrier interference</w:t>
                  </w:r>
                </w:p>
              </w:tc>
              <w:tc>
                <w:tcPr>
                  <w:tcW w:w="6609" w:type="dxa"/>
                  <w:tcMar>
                    <w:top w:w="0" w:type="dxa"/>
                    <w:left w:w="108" w:type="dxa"/>
                    <w:bottom w:w="0" w:type="dxa"/>
                    <w:right w:w="108" w:type="dxa"/>
                  </w:tcMar>
                  <w:vAlign w:val="center"/>
                </w:tcPr>
                <w:p>
                  <w:pPr>
                    <w:numPr>
                      <w:ilvl w:val="0"/>
                      <w:numId w:val="5"/>
                    </w:numPr>
                    <w:tabs>
                      <w:tab w:val="left" w:pos="437"/>
                    </w:tabs>
                    <w:autoSpaceDE/>
                    <w:adjustRightInd/>
                    <w:snapToGrid w:val="0"/>
                    <w:spacing w:after="0"/>
                  </w:pPr>
                  <w:r>
                    <w:rPr>
                      <w:lang w:eastAsia="zh-TW"/>
                    </w:rPr>
                    <w:t xml:space="preserve">PDSCH mapped on resources other than that for WUS and guard band; </w:t>
                  </w:r>
                  <w:r>
                    <w:rPr>
                      <w:highlight w:val="yellow"/>
                    </w:rPr>
                    <w:t>EPRE of LP-WUS / EPRE of PDSCH =ρ</w:t>
                  </w:r>
                  <w:r>
                    <w:t>, where ρ=0 dB as baseline, ρ= {3, 6} dB as optional</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sz w:val="20"/>
                <w:szCs w:val="20"/>
                <w:highlight w:val="none"/>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Then, RAN4 agree to study whether gNB can boost WUS of 24 RB with X dB., e.g X = 3 or 6 dB based on the information from RAN1 LS[1].</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However, in NB-IoT section of TS38.104, we have different definition of power boosting, where it is defined as the difference between the average power of NB-IoT REs and the average power over all REs: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[Clause 6.3.4.1 in TS38.104]</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lang w:val="en-US" w:eastAsia="zh-CN"/>
              </w:rPr>
              <w:t xml:space="preserve">The NB-IoT RB power dynamic range (or NB-IoT power boosting) is </w:t>
            </w:r>
            <w:r>
              <w:rPr>
                <w:rFonts w:hint="eastAsia" w:cs="Times New Roman"/>
                <w:i w:val="0"/>
                <w:iCs w:val="0"/>
                <w:sz w:val="20"/>
                <w:szCs w:val="20"/>
                <w:highlight w:val="yellow"/>
                <w:lang w:val="en-US" w:eastAsia="zh-CN"/>
              </w:rPr>
              <w:t>the difference</w:t>
            </w:r>
            <w:r>
              <w:rPr>
                <w:rFonts w:hint="eastAsia" w:cs="Times New Roman"/>
                <w:i w:val="0"/>
                <w:iCs w:val="0"/>
                <w:sz w:val="20"/>
                <w:szCs w:val="20"/>
                <w:highlight w:val="none"/>
                <w:lang w:val="en-US" w:eastAsia="zh-CN"/>
              </w:rPr>
              <w:t xml:space="preserve"> between </w:t>
            </w:r>
            <w:r>
              <w:rPr>
                <w:rFonts w:hint="eastAsia" w:cs="Times New Roman"/>
                <w:i w:val="0"/>
                <w:iCs w:val="0"/>
                <w:sz w:val="20"/>
                <w:szCs w:val="20"/>
                <w:highlight w:val="yellow"/>
                <w:lang w:val="en-US" w:eastAsia="zh-CN"/>
              </w:rPr>
              <w:t>the average power of NB-IoT REs</w:t>
            </w:r>
            <w:r>
              <w:rPr>
                <w:rFonts w:hint="eastAsia" w:cs="Times New Roman"/>
                <w:i w:val="0"/>
                <w:iCs w:val="0"/>
                <w:sz w:val="20"/>
                <w:szCs w:val="20"/>
                <w:highlight w:val="none"/>
                <w:lang w:val="en-US" w:eastAsia="zh-CN"/>
              </w:rPr>
              <w:t xml:space="preserve"> (which occupy certain REs within a NR transmission bandwidth configuration plus 15 kHz at each edge but not within the NR minimum guard band GB</w:t>
            </w:r>
            <w:r>
              <w:rPr>
                <w:rFonts w:hint="eastAsia" w:cs="Times New Roman"/>
                <w:i w:val="0"/>
                <w:iCs w:val="0"/>
                <w:sz w:val="20"/>
                <w:szCs w:val="20"/>
                <w:highlight w:val="none"/>
                <w:vertAlign w:val="subscript"/>
                <w:lang w:val="en-US" w:eastAsia="zh-CN"/>
              </w:rPr>
              <w:t>Channel</w:t>
            </w:r>
            <w:r>
              <w:rPr>
                <w:rFonts w:hint="eastAsia" w:cs="Times New Roman"/>
                <w:i w:val="0"/>
                <w:iCs w:val="0"/>
                <w:sz w:val="20"/>
                <w:szCs w:val="20"/>
                <w:highlight w:val="none"/>
                <w:lang w:val="en-US" w:eastAsia="zh-CN"/>
              </w:rPr>
              <w:t xml:space="preserve">) and </w:t>
            </w:r>
            <w:r>
              <w:rPr>
                <w:rFonts w:hint="eastAsia" w:cs="Times New Roman"/>
                <w:i w:val="0"/>
                <w:iCs w:val="0"/>
                <w:sz w:val="20"/>
                <w:szCs w:val="20"/>
                <w:highlight w:val="yellow"/>
                <w:lang w:val="en-US" w:eastAsia="zh-CN"/>
              </w:rPr>
              <w:t>the average power over all REs</w:t>
            </w:r>
            <w:r>
              <w:rPr>
                <w:rFonts w:hint="eastAsia" w:cs="Times New Roman"/>
                <w:i w:val="0"/>
                <w:iCs w:val="0"/>
                <w:sz w:val="20"/>
                <w:szCs w:val="20"/>
                <w:highlight w:val="none"/>
                <w:lang w:val="en-US" w:eastAsia="zh-CN"/>
              </w:rPr>
              <w:t xml:space="preserve"> (from both NB-IoT and the NR carrier containing the NB-IoT REs).</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In order to avoid divergence and maintain consistency in RAN4 spec, we recommend to align the definition of LP-WUS power boosting with NB-IoT, defined as: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color w:val="auto"/>
          <w:sz w:val="20"/>
          <w:szCs w:val="20"/>
          <w:highlight w:val="none"/>
          <w:lang w:val="en-US" w:eastAsia="zh-CN"/>
        </w:rPr>
      </w:pPr>
      <w:r>
        <w:rPr>
          <w:rFonts w:hint="eastAsia" w:cs="Times New Roman"/>
          <w:i w:val="0"/>
          <w:iCs w:val="0"/>
          <w:color w:val="auto"/>
          <w:sz w:val="20"/>
          <w:szCs w:val="20"/>
          <w:highlight w:val="none"/>
          <w:lang w:val="en-US" w:eastAsia="zh-CN"/>
        </w:rPr>
        <w:t>The LP-WUS RB power dynamic range (or LP-WUS power boosting) is the difference between the average power of LP-WUS REs (which occupy certain REs within a NR transmission bandwidth configuration plus 15 kHz at each edge but not within the NR minimum guard band GB</w:t>
      </w:r>
      <w:r>
        <w:rPr>
          <w:rFonts w:hint="eastAsia" w:cs="Times New Roman"/>
          <w:i w:val="0"/>
          <w:iCs w:val="0"/>
          <w:color w:val="auto"/>
          <w:sz w:val="20"/>
          <w:szCs w:val="20"/>
          <w:highlight w:val="none"/>
          <w:vertAlign w:val="subscript"/>
          <w:lang w:val="en-US" w:eastAsia="zh-CN"/>
        </w:rPr>
        <w:t>Channel</w:t>
      </w:r>
      <w:r>
        <w:rPr>
          <w:rFonts w:hint="eastAsia" w:cs="Times New Roman"/>
          <w:i w:val="0"/>
          <w:iCs w:val="0"/>
          <w:color w:val="auto"/>
          <w:sz w:val="20"/>
          <w:szCs w:val="20"/>
          <w:highlight w:val="none"/>
          <w:lang w:val="en-US" w:eastAsia="zh-CN"/>
        </w:rPr>
        <w:t>)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Propose 1: Define LP-WUS RB power dynamic range as: The LP-WUS RB power dynamic range (or LP-WUS power boosting) is the difference between the average power of LP-WUS REs (which occupy certain REs within a NR transmission bandwidth configuration plus 15 kHz at each edge but not within the NR minimum guard band GB</w:t>
      </w:r>
      <w:r>
        <w:rPr>
          <w:rFonts w:hint="eastAsia" w:cs="Times New Roman"/>
          <w:b/>
          <w:bCs/>
          <w:i w:val="0"/>
          <w:iCs w:val="0"/>
          <w:color w:val="auto"/>
          <w:sz w:val="20"/>
          <w:szCs w:val="20"/>
          <w:highlight w:val="none"/>
          <w:vertAlign w:val="subscript"/>
          <w:lang w:val="en-US" w:eastAsia="zh-CN"/>
        </w:rPr>
        <w:t>Channel</w:t>
      </w:r>
      <w:r>
        <w:rPr>
          <w:rFonts w:hint="eastAsia" w:cs="Times New Roman"/>
          <w:b/>
          <w:bCs/>
          <w:i w:val="0"/>
          <w:iCs w:val="0"/>
          <w:color w:val="auto"/>
          <w:sz w:val="20"/>
          <w:szCs w:val="20"/>
          <w:highlight w:val="none"/>
          <w:lang w:val="en-US" w:eastAsia="zh-CN"/>
        </w:rPr>
        <w:t>)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2.2</w:t>
      </w:r>
      <w:r>
        <w:rPr>
          <w:rFonts w:hint="eastAsia" w:cs="Times New Roman"/>
          <w:b/>
          <w:bCs/>
          <w:i w:val="0"/>
          <w:iCs w:val="0"/>
          <w:sz w:val="20"/>
          <w:szCs w:val="20"/>
          <w:highlight w:val="none"/>
          <w:lang w:val="en-US" w:eastAsia="zh-CN"/>
        </w:rPr>
        <w:tab/>
      </w:r>
      <w:r>
        <w:rPr>
          <w:rFonts w:hint="eastAsia" w:cs="Times New Roman"/>
          <w:b/>
          <w:bCs/>
          <w:i w:val="0"/>
          <w:iCs w:val="0"/>
          <w:sz w:val="20"/>
          <w:szCs w:val="20"/>
          <w:highlight w:val="none"/>
          <w:lang w:val="en-US" w:eastAsia="zh-CN"/>
        </w:rPr>
        <w:t>Impact of LP-WUS power boosting</w:t>
      </w:r>
    </w:p>
    <w:p>
      <w:pPr>
        <w:keepNext w:val="0"/>
        <w:keepLines w:val="0"/>
        <w:pageBreakBefore w:val="0"/>
        <w:widowControl/>
        <w:kinsoku/>
        <w:wordWrap/>
        <w:overflowPunct/>
        <w:topLinePunct w:val="0"/>
        <w:autoSpaceDE/>
        <w:autoSpaceDN/>
        <w:bidi w:val="0"/>
        <w:adjustRightInd/>
        <w:snapToGrid/>
        <w:spacing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As defined in Section 2.1, when there is no LP-WUS power boosting, i.e., power boosting equals to 0 dB, LP-WUS has the same PSD as NR signal. As discussed in SI phase, LP-WUS power boosting may be needed to enlarge the coverage. However, since the total output power of BS is limited, when we increasing the power of LP-WUS, definitely the power of the left NR signals will decrease, as shown in Figure 1, which may deteriorate the coverage of NR signal.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323715" cy="3353435"/>
            <wp:effectExtent l="0" t="0" r="4445" b="14605"/>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7"/>
                    <a:stretch>
                      <a:fillRect/>
                    </a:stretch>
                  </pic:blipFill>
                  <pic:spPr>
                    <a:xfrm>
                      <a:off x="0" y="0"/>
                      <a:ext cx="4323715" cy="335343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57" w:afterLines="50" w:line="240" w:lineRule="auto"/>
        <w:jc w:val="center"/>
        <w:textAlignment w:val="auto"/>
        <w:outlineLvl w:val="9"/>
        <w:rPr>
          <w:rFonts w:hint="eastAsia" w:cs="Times New Roman"/>
          <w:i w:val="0"/>
          <w:iCs w:val="0"/>
          <w:sz w:val="20"/>
          <w:szCs w:val="20"/>
          <w:highlight w:val="none"/>
          <w:lang w:val="en-US" w:eastAsia="zh-CN"/>
        </w:rPr>
      </w:pPr>
      <w:r>
        <w:rPr>
          <w:rFonts w:hint="eastAsia" w:cs="Times New Roman"/>
          <w:b/>
          <w:bCs/>
          <w:i w:val="0"/>
          <w:iCs w:val="0"/>
          <w:sz w:val="20"/>
          <w:szCs w:val="20"/>
          <w:highlight w:val="none"/>
          <w:lang w:val="en-US" w:eastAsia="zh-CN"/>
        </w:rPr>
        <w:t>Figure 1  Illustration of the impact of LP-WUS power boosting.</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left"/>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Based on the discussion in our previous contribution [2], we update the d</w:t>
      </w:r>
      <w:r>
        <w:rPr>
          <w:rFonts w:hint="eastAsia" w:ascii="Times" w:hAnsi="Times" w:eastAsia="Batang"/>
          <w:i w:val="0"/>
          <w:iCs w:val="0"/>
          <w:sz w:val="20"/>
          <w:szCs w:val="20"/>
          <w:vertAlign w:val="baseline"/>
          <w:lang w:val="en-US" w:eastAsia="zh-CN"/>
        </w:rPr>
        <w:t xml:space="preserve">elta NR power </w:t>
      </w:r>
      <w:r>
        <w:rPr>
          <w:rFonts w:hint="eastAsia" w:ascii="Times New Roman" w:hAnsi="Times New Roman" w:eastAsia="Batang" w:cs="Times New Roman"/>
          <w:i w:val="0"/>
          <w:iCs w:val="0"/>
          <w:sz w:val="20"/>
          <w:szCs w:val="20"/>
          <w:lang w:val="en-US" w:eastAsia="zh-CN"/>
        </w:rPr>
        <w:t>reduction</w:t>
      </w:r>
      <w:r>
        <w:rPr>
          <w:rFonts w:hint="eastAsia" w:eastAsia="Batang" w:cs="Times New Roman"/>
          <w:i w:val="0"/>
          <w:iCs w:val="0"/>
          <w:sz w:val="20"/>
          <w:szCs w:val="20"/>
          <w:lang w:val="en-US" w:eastAsia="zh-CN"/>
        </w:rPr>
        <w:t xml:space="preserve"> of NR signals in Table 1 when the power of LP-WUS is boosted by 3 dB and 6dB. It can be found that </w:t>
      </w:r>
      <w:r>
        <w:rPr>
          <w:rFonts w:hint="eastAsia" w:ascii="Times New Roman" w:hAnsi="Times New Roman" w:eastAsia="Batang" w:cs="Times New Roman"/>
          <w:i w:val="0"/>
          <w:iCs w:val="0"/>
          <w:sz w:val="20"/>
          <w:szCs w:val="20"/>
          <w:lang w:val="en-US" w:eastAsia="zh-CN"/>
        </w:rPr>
        <w:t>the delta NR RB power reduction become</w:t>
      </w:r>
      <w:r>
        <w:rPr>
          <w:rFonts w:hint="eastAsia" w:eastAsia="Batang" w:cs="Times New Roman"/>
          <w:i w:val="0"/>
          <w:iCs w:val="0"/>
          <w:sz w:val="20"/>
          <w:szCs w:val="20"/>
          <w:lang w:val="en-US" w:eastAsia="zh-CN"/>
        </w:rPr>
        <w:t>s</w:t>
      </w:r>
      <w:r>
        <w:rPr>
          <w:rFonts w:hint="eastAsia" w:ascii="Times New Roman" w:hAnsi="Times New Roman" w:eastAsia="Batang" w:cs="Times New Roman"/>
          <w:i w:val="0"/>
          <w:iCs w:val="0"/>
          <w:sz w:val="20"/>
          <w:szCs w:val="20"/>
          <w:lang w:val="en-US" w:eastAsia="zh-CN"/>
        </w:rPr>
        <w:t xml:space="preserve"> smaller as the channel bandwidth increase</w:t>
      </w:r>
      <w:r>
        <w:rPr>
          <w:rFonts w:hint="eastAsia" w:eastAsia="Batang" w:cs="Times New Roman"/>
          <w:i w:val="0"/>
          <w:iCs w:val="0"/>
          <w:sz w:val="20"/>
          <w:szCs w:val="20"/>
          <w:lang w:val="en-US" w:eastAsia="zh-CN"/>
        </w:rPr>
        <w:t>s because of the decreasing proportion of WUS bandwidth, which means the effect of LP-WUS power boosting on NR power becomes lighter. F</w:t>
      </w:r>
      <w:r>
        <w:rPr>
          <w:rFonts w:hint="eastAsia" w:ascii="Times New Roman" w:hAnsi="Times New Roman" w:eastAsia="Batang" w:cs="Times New Roman"/>
          <w:i w:val="0"/>
          <w:iCs w:val="0"/>
          <w:sz w:val="20"/>
          <w:szCs w:val="20"/>
          <w:lang w:val="en-US" w:eastAsia="zh-CN"/>
        </w:rPr>
        <w:t xml:space="preserve">or the small NR channel bandwidth such as 5/10MHz, </w:t>
      </w:r>
      <w:r>
        <w:rPr>
          <w:rFonts w:hint="eastAsia" w:eastAsia="Batang" w:cs="Times New Roman"/>
          <w:i w:val="0"/>
          <w:iCs w:val="0"/>
          <w:sz w:val="20"/>
          <w:szCs w:val="20"/>
          <w:lang w:val="en-US" w:eastAsia="zh-CN"/>
        </w:rPr>
        <w:t>LP-WUS power boosting would be limited due to larger power for NR decrease, but for wide bandwidth, the impacts on the NR power is small which means more higher power boosting for LP-WUS is permitted.</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eastAsia" w:cs="Times New Roman"/>
          <w:i w:val="0"/>
          <w:iCs w:val="0"/>
          <w:sz w:val="20"/>
          <w:szCs w:val="20"/>
          <w:highlight w:val="none"/>
          <w:lang w:val="en-US" w:eastAsia="zh-CN"/>
        </w:rPr>
      </w:pPr>
      <w:r>
        <w:rPr>
          <w:rFonts w:hint="eastAsia" w:ascii="Times" w:hAnsi="Times" w:eastAsia="Batang"/>
          <w:b/>
          <w:bCs/>
          <w:i w:val="0"/>
          <w:iCs w:val="0"/>
          <w:sz w:val="20"/>
          <w:szCs w:val="20"/>
          <w:lang w:val="en-US" w:eastAsia="zh-CN"/>
        </w:rPr>
        <w:t>Table 1  D</w:t>
      </w:r>
      <w:r>
        <w:rPr>
          <w:rFonts w:hint="eastAsia" w:ascii="Times New Roman" w:hAnsi="Times New Roman" w:eastAsia="Batang" w:cs="Times New Roman"/>
          <w:b/>
          <w:bCs/>
          <w:i w:val="0"/>
          <w:iCs w:val="0"/>
          <w:sz w:val="20"/>
          <w:szCs w:val="20"/>
          <w:lang w:val="en-US" w:eastAsia="zh-CN"/>
        </w:rPr>
        <w:t>elta NR power reduc</w:t>
      </w:r>
      <w:r>
        <w:rPr>
          <w:rFonts w:hint="eastAsia" w:eastAsia="Batang" w:cs="Times New Roman"/>
          <w:b/>
          <w:bCs/>
          <w:i w:val="0"/>
          <w:iCs w:val="0"/>
          <w:sz w:val="20"/>
          <w:szCs w:val="20"/>
          <w:lang w:val="en-US" w:eastAsia="zh-CN"/>
        </w:rPr>
        <w:t>tion</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937"/>
        <w:gridCol w:w="882"/>
        <w:gridCol w:w="767"/>
        <w:gridCol w:w="1080"/>
        <w:gridCol w:w="2025"/>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Declared BS</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power (dBm)</w:t>
            </w:r>
          </w:p>
        </w:tc>
        <w:tc>
          <w:tcPr>
            <w:tcW w:w="937"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CBW</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(MHz)</w:t>
            </w:r>
          </w:p>
        </w:tc>
        <w:tc>
          <w:tcPr>
            <w:tcW w:w="882"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SCS</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(kHz)</w:t>
            </w:r>
          </w:p>
        </w:tc>
        <w:tc>
          <w:tcPr>
            <w:tcW w:w="767"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N_RB</w:t>
            </w:r>
          </w:p>
        </w:tc>
        <w:tc>
          <w:tcPr>
            <w:tcW w:w="1080"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LP-WUS RB</w:t>
            </w:r>
          </w:p>
        </w:tc>
        <w:tc>
          <w:tcPr>
            <w:tcW w:w="4086" w:type="dxa"/>
            <w:gridSpan w:val="2"/>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 xml:space="preserve">Delta NR power </w:t>
            </w:r>
            <w:r>
              <w:rPr>
                <w:rFonts w:hint="eastAsia" w:ascii="Times New Roman" w:hAnsi="Times New Roman" w:eastAsia="Batang" w:cs="Times New Roman"/>
                <w:b/>
                <w:bCs/>
                <w:i w:val="0"/>
                <w:iCs w:val="0"/>
                <w:sz w:val="20"/>
                <w:szCs w:val="20"/>
                <w:lang w:val="en-US" w:eastAsia="zh-CN"/>
              </w:rPr>
              <w:t>reduction</w:t>
            </w:r>
            <w:r>
              <w:rPr>
                <w:rFonts w:hint="eastAsia" w:eastAsia="Batang" w:cs="Times New Roman"/>
                <w:b/>
                <w:bCs/>
                <w:i w:val="0"/>
                <w:iCs w:val="0"/>
                <w:sz w:val="20"/>
                <w:szCs w:val="20"/>
                <w:lang w:val="en-US" w:eastAsia="zh-CN"/>
              </w:rPr>
              <w:t xml:space="preserve"> </w:t>
            </w:r>
            <w:r>
              <w:rPr>
                <w:rFonts w:hint="eastAsia" w:ascii="Times" w:hAnsi="Times" w:eastAsia="Batang"/>
                <w:b/>
                <w:bCs/>
                <w:i w:val="0"/>
                <w:iCs w:val="0"/>
                <w:sz w:val="20"/>
                <w:szCs w:val="20"/>
                <w:vertAlign w:val="baseli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93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882"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76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1080"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WUS Boosting 3dB</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cs="Times New Roman"/>
                <w:b/>
                <w:bCs/>
                <w:i w:val="0"/>
                <w:iCs w:val="0"/>
                <w:kern w:val="2"/>
                <w:sz w:val="20"/>
                <w:szCs w:val="20"/>
                <w:vertAlign w:val="baseline"/>
                <w:lang w:val="en-US" w:eastAsia="zh-CN" w:bidi="ar-SA"/>
              </w:rPr>
            </w:pPr>
            <w:r>
              <w:rPr>
                <w:rFonts w:hint="eastAsia" w:ascii="Times" w:hAnsi="Times" w:eastAsia="Batang"/>
                <w:b/>
                <w:bCs/>
                <w:i w:val="0"/>
                <w:iCs w:val="0"/>
                <w:sz w:val="20"/>
                <w:szCs w:val="20"/>
                <w:vertAlign w:val="baseline"/>
                <w:lang w:val="en-US" w:eastAsia="zh-CN"/>
              </w:rPr>
              <w:t>WUS Boosting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46</w:t>
            </w: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25</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X</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52</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-10.20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79</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-2.60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106</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-1.60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133</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-1.10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160</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-0.77</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FF0000"/>
                <w:sz w:val="20"/>
                <w:szCs w:val="20"/>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188</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-0.62</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auto"/>
                <w:sz w:val="20"/>
                <w:szCs w:val="20"/>
                <w:vertAlign w:val="baseline"/>
                <w:lang w:val="en-US" w:eastAsia="zh-CN"/>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216</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-0.58</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242</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-0.48</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270</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-0.45</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60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162</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-0.39</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70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189</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-0.29</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80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217</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-0.27</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90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245</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-0.21</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273</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-0.19</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-0.62</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b/>
          <w:bCs/>
          <w:i w:val="0"/>
          <w:iCs w:val="0"/>
          <w:sz w:val="20"/>
          <w:szCs w:val="20"/>
          <w:highlight w:val="none"/>
          <w:lang w:val="en-US" w:eastAsia="zh-CN"/>
        </w:rPr>
        <w:t>Observation 1: As the power of LP-WUS increases, the power of NR signal decreases, which may deteriorate the coverage of NR signals.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ascii="宋体" w:hAnsi="宋体" w:eastAsia="宋体" w:cs="宋体"/>
          <w:kern w:val="0"/>
          <w:sz w:val="24"/>
          <w:szCs w:val="24"/>
          <w:lang w:val="en-US" w:eastAsia="zh-CN" w:bidi="ar"/>
        </w:rPr>
      </w:pPr>
      <w:r>
        <w:rPr>
          <w:rFonts w:hint="eastAsia" w:cs="Times New Roman"/>
          <w:i w:val="0"/>
          <w:iCs w:val="0"/>
          <w:sz w:val="20"/>
          <w:szCs w:val="20"/>
          <w:highlight w:val="none"/>
          <w:lang w:val="en-US" w:eastAsia="zh-CN"/>
        </w:rPr>
        <w:t>Besides, for the case that LP-WUS is configured at edge or nearly edge, LP-WUS power boosting will deteriorate out-of-band emissions, as shown in Fi</w:t>
      </w:r>
      <w:r>
        <w:rPr>
          <w:rFonts w:hint="eastAsia" w:cs="Times New Roman"/>
          <w:i w:val="0"/>
          <w:iCs w:val="0"/>
          <w:color w:val="auto"/>
          <w:sz w:val="20"/>
          <w:szCs w:val="20"/>
          <w:highlight w:val="none"/>
          <w:lang w:val="en-US" w:eastAsia="zh-CN"/>
        </w:rPr>
        <w:t>gure 2. According to our preliminary simulation results, for 100MHz channel bandwidth, as LP-WUS power is boosted by 3dB and 6dB, ACLR will decrease about 2.0 dB and 4.4 dB, respectively.</w:t>
      </w:r>
    </w:p>
    <w:p>
      <w:pPr>
        <w:keepNext w:val="0"/>
        <w:keepLines w:val="0"/>
        <w:widowControl/>
        <w:suppressLineNumbers w:val="0"/>
        <w:jc w:val="center"/>
        <w:rPr>
          <w:rFonts w:ascii="宋体" w:hAnsi="宋体" w:eastAsia="宋体" w:cs="宋体"/>
          <w:kern w:val="0"/>
          <w:sz w:val="24"/>
          <w:szCs w:val="24"/>
          <w:lang w:val="en-US" w:eastAsia="zh-CN" w:bidi="ar"/>
        </w:rPr>
      </w:pPr>
      <w:r>
        <w:drawing>
          <wp:inline distT="0" distB="0" distL="114300" distR="114300">
            <wp:extent cx="3874770" cy="3128010"/>
            <wp:effectExtent l="0" t="0" r="11430" b="1143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3874770" cy="31280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57" w:afterLines="50" w:line="240" w:lineRule="auto"/>
        <w:jc w:val="center"/>
        <w:textAlignment w:val="auto"/>
        <w:outlineLvl w:val="9"/>
        <w:rPr>
          <w:rFonts w:hint="eastAsia" w:cs="Times New Roman"/>
          <w:i w:val="0"/>
          <w:iCs w:val="0"/>
          <w:color w:val="FF0000"/>
          <w:sz w:val="20"/>
          <w:szCs w:val="20"/>
          <w:highlight w:val="none"/>
          <w:lang w:val="en-US" w:eastAsia="zh-CN"/>
        </w:rPr>
      </w:pPr>
      <w:r>
        <w:rPr>
          <w:rFonts w:hint="eastAsia" w:cs="Times New Roman"/>
          <w:b/>
          <w:bCs/>
          <w:i w:val="0"/>
          <w:iCs w:val="0"/>
          <w:sz w:val="20"/>
          <w:szCs w:val="20"/>
          <w:highlight w:val="none"/>
          <w:lang w:val="en-US" w:eastAsia="zh-CN"/>
        </w:rPr>
        <w:t>Figure 2  The effect of LP-WUS power boosting on out-of-band emission.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For the case that LP-WUS is configured at edge or nearly edge, LP-WUS power boosting will deteriorate out-of-band emissions.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2.3</w:t>
      </w:r>
      <w:r>
        <w:rPr>
          <w:rFonts w:hint="eastAsia" w:cs="Times New Roman"/>
          <w:b/>
          <w:bCs/>
          <w:i w:val="0"/>
          <w:iCs w:val="0"/>
          <w:sz w:val="20"/>
          <w:szCs w:val="20"/>
          <w:highlight w:val="none"/>
          <w:lang w:val="en-US" w:eastAsia="zh-CN"/>
        </w:rPr>
        <w:tab/>
      </w:r>
      <w:r>
        <w:rPr>
          <w:rFonts w:hint="eastAsia" w:cs="Times New Roman"/>
          <w:b/>
          <w:bCs/>
          <w:i w:val="0"/>
          <w:iCs w:val="0"/>
          <w:sz w:val="20"/>
          <w:szCs w:val="20"/>
          <w:highlight w:val="none"/>
          <w:lang w:val="en-US" w:eastAsia="zh-CN"/>
        </w:rPr>
        <w:t>LP-WUS power boosting level</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color w:val="auto"/>
          <w:sz w:val="20"/>
          <w:szCs w:val="20"/>
          <w:highlight w:val="none"/>
          <w:lang w:val="en-US" w:eastAsia="zh-CN"/>
        </w:rPr>
      </w:pPr>
      <w:r>
        <w:rPr>
          <w:rFonts w:hint="eastAsia" w:cs="Times New Roman"/>
          <w:i w:val="0"/>
          <w:iCs w:val="0"/>
          <w:sz w:val="20"/>
          <w:szCs w:val="20"/>
          <w:highlight w:val="none"/>
          <w:lang w:val="en-US" w:eastAsia="zh-CN"/>
        </w:rPr>
        <w:t>As discussed in RAN4 #109 meeting, RAN4 achieved an agreement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pageBreakBefore w:val="0"/>
              <w:kinsoku/>
              <w:wordWrap/>
              <w:topLinePunct w:val="0"/>
              <w:bidi w:val="0"/>
              <w:rPr>
                <w:b w:val="0"/>
                <w:bCs/>
                <w:u w:val="single"/>
                <w:lang w:eastAsia="ko-KR"/>
              </w:rPr>
            </w:pPr>
            <w:r>
              <w:rPr>
                <w:b w:val="0"/>
                <w:bCs/>
                <w:u w:val="single"/>
                <w:lang w:eastAsia="ko-KR"/>
              </w:rPr>
              <w:t>Issue 1-3-1: Possible LP-WUS power range</w:t>
            </w:r>
          </w:p>
          <w:p>
            <w:pPr>
              <w:keepNext/>
              <w:keepLines/>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bCs/>
                <w:i/>
                <w:highlight w:val="none"/>
                <w:lang w:eastAsia="zh-CN"/>
              </w:rPr>
            </w:pPr>
            <w:r>
              <w:rPr>
                <w:rFonts w:hint="default" w:ascii="Times New Roman" w:hAnsi="Times New Roman" w:cs="Times New Roman"/>
                <w:b/>
                <w:bCs/>
                <w:i/>
                <w:highlight w:val="none"/>
                <w:lang w:eastAsia="zh-CN"/>
              </w:rPr>
              <w:t>Agreements:</w:t>
            </w:r>
          </w:p>
          <w:p>
            <w:pPr>
              <w:pStyle w:val="29"/>
              <w:keepNext/>
              <w:keepLines/>
              <w:pageBreakBefore w:val="0"/>
              <w:numPr>
                <w:ilvl w:val="1"/>
                <w:numId w:val="6"/>
              </w:numPr>
              <w:kinsoku/>
              <w:wordWrap/>
              <w:overflowPunct/>
              <w:topLinePunct w:val="0"/>
              <w:autoSpaceDE/>
              <w:autoSpaceDN/>
              <w:bidi w:val="0"/>
              <w:adjustRightInd/>
              <w:snapToGrid/>
              <w:spacing w:after="0" w:line="240" w:lineRule="auto"/>
              <w:ind w:left="1440" w:firstLineChars="0"/>
              <w:textAlignment w:val="auto"/>
              <w:rPr>
                <w:rFonts w:hint="default" w:ascii="Times New Roman" w:hAnsi="Times New Roman" w:eastAsia="宋体" w:cs="Times New Roman"/>
                <w:b/>
                <w:bCs/>
                <w:szCs w:val="24"/>
                <w:highlight w:val="none"/>
                <w:lang w:eastAsia="zh-CN"/>
              </w:rPr>
            </w:pPr>
            <w:r>
              <w:rPr>
                <w:rFonts w:hint="default" w:ascii="Times New Roman" w:hAnsi="Times New Roman" w:eastAsia="宋体" w:cs="Times New Roman"/>
                <w:b/>
                <w:bCs/>
                <w:szCs w:val="24"/>
                <w:highlight w:val="none"/>
                <w:lang w:eastAsia="zh-CN"/>
              </w:rPr>
              <w:t>Consider [0~6dB] for LP-WUS power boosting as SI outcome, further discuss in WI for specific value.</w:t>
            </w:r>
          </w:p>
          <w:p>
            <w:pPr>
              <w:pStyle w:val="29"/>
              <w:keepNext/>
              <w:keepLines/>
              <w:pageBreakBefore w:val="0"/>
              <w:numPr>
                <w:ilvl w:val="2"/>
                <w:numId w:val="6"/>
              </w:numPr>
              <w:kinsoku/>
              <w:wordWrap/>
              <w:overflowPunct/>
              <w:topLinePunct w:val="0"/>
              <w:autoSpaceDE/>
              <w:autoSpaceDN/>
              <w:bidi w:val="0"/>
              <w:adjustRightInd/>
              <w:snapToGrid/>
              <w:spacing w:after="0" w:line="240" w:lineRule="auto"/>
              <w:ind w:firstLineChars="0"/>
              <w:textAlignment w:val="auto"/>
              <w:rPr>
                <w:rFonts w:hint="default" w:ascii="Times New Roman" w:hAnsi="Times New Roman" w:eastAsia="宋体" w:cs="Times New Roman"/>
                <w:b/>
                <w:bCs/>
                <w:szCs w:val="24"/>
                <w:highlight w:val="none"/>
                <w:lang w:eastAsia="zh-CN"/>
              </w:rPr>
            </w:pPr>
            <w:r>
              <w:rPr>
                <w:rFonts w:hint="default" w:ascii="Times New Roman" w:hAnsi="Times New Roman" w:eastAsia="宋体" w:cs="Times New Roman"/>
                <w:b/>
                <w:bCs/>
                <w:szCs w:val="24"/>
                <w:highlight w:val="none"/>
                <w:lang w:eastAsia="zh-CN"/>
              </w:rPr>
              <w:t>The condition of power boosting can be further discussed in WI phase.</w:t>
            </w:r>
          </w:p>
          <w:p>
            <w:pPr>
              <w:pStyle w:val="29"/>
              <w:keepNext/>
              <w:keepLines/>
              <w:pageBreakBefore w:val="0"/>
              <w:numPr>
                <w:ilvl w:val="2"/>
                <w:numId w:val="6"/>
              </w:numPr>
              <w:kinsoku/>
              <w:wordWrap/>
              <w:overflowPunct/>
              <w:topLinePunct w:val="0"/>
              <w:autoSpaceDE/>
              <w:autoSpaceDN/>
              <w:bidi w:val="0"/>
              <w:adjustRightInd/>
              <w:snapToGrid/>
              <w:spacing w:after="0" w:line="240" w:lineRule="auto"/>
              <w:ind w:firstLineChars="0"/>
              <w:textAlignment w:val="auto"/>
              <w:rPr>
                <w:rFonts w:hint="eastAsia" w:cs="Times New Roman"/>
                <w:i w:val="0"/>
                <w:iCs w:val="0"/>
                <w:color w:val="auto"/>
                <w:sz w:val="20"/>
                <w:szCs w:val="20"/>
                <w:highlight w:val="none"/>
                <w:vertAlign w:val="baseline"/>
                <w:lang w:val="en-US" w:eastAsia="zh-CN"/>
              </w:rPr>
            </w:pPr>
            <w:r>
              <w:rPr>
                <w:rFonts w:hint="default" w:ascii="Times New Roman" w:hAnsi="Times New Roman" w:eastAsia="宋体" w:cs="Times New Roman"/>
                <w:b/>
                <w:bCs/>
                <w:szCs w:val="24"/>
                <w:highlight w:val="none"/>
                <w:lang w:eastAsia="zh-CN"/>
              </w:rPr>
              <w:t>The number [0~6] is aligned with RAN1 assumption.</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color w:val="auto"/>
          <w:sz w:val="20"/>
          <w:szCs w:val="20"/>
          <w:highlight w:val="none"/>
          <w:lang w:val="en-US" w:eastAsia="zh-CN"/>
        </w:rPr>
      </w:pPr>
      <w:r>
        <w:rPr>
          <w:rFonts w:hint="eastAsia" w:cs="Times New Roman"/>
          <w:i w:val="0"/>
          <w:iCs w:val="0"/>
          <w:color w:val="auto"/>
          <w:sz w:val="20"/>
          <w:szCs w:val="20"/>
          <w:highlight w:val="none"/>
          <w:lang w:val="en-US" w:eastAsia="zh-CN"/>
        </w:rPr>
        <w:t>SI outcome in TR38.869 set a [6] dB upper bound for LP-WUS power boosting：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cs="Times New Roman"/>
                <w:i w:val="0"/>
                <w:iCs w:val="0"/>
                <w:color w:val="auto"/>
                <w:sz w:val="20"/>
                <w:szCs w:val="20"/>
                <w:highlight w:val="none"/>
                <w:vertAlign w:val="baseline"/>
                <w:lang w:val="en-US" w:eastAsia="zh-CN"/>
              </w:rPr>
            </w:pPr>
            <w:r>
              <w:rPr>
                <w:szCs w:val="24"/>
                <w:lang w:eastAsia="zh-CN"/>
              </w:rPr>
              <w:t>BS manufacturer could declare if power boosting for WUS signal is supported and the boosting level</w:t>
            </w:r>
            <w:r>
              <w:rPr>
                <w:szCs w:val="24"/>
                <w:highlight w:val="none"/>
                <w:lang w:eastAsia="zh-CN"/>
              </w:rPr>
              <w:t xml:space="preserve"> in the range of [0] to [6] dB is considered. </w:t>
            </w:r>
            <w:r>
              <w:rPr>
                <w:szCs w:val="24"/>
                <w:lang w:eastAsia="zh-CN"/>
              </w:rPr>
              <w:t>Final power boosting level and the condition of power boosting will be decided based on further analysis in WI phase.</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color w:val="auto"/>
          <w:sz w:val="20"/>
          <w:szCs w:val="20"/>
          <w:highlight w:val="none"/>
          <w:lang w:val="en-US" w:eastAsia="zh-CN"/>
        </w:rPr>
      </w:pPr>
      <w:r>
        <w:rPr>
          <w:rFonts w:hint="eastAsia" w:cs="Times New Roman"/>
          <w:i w:val="0"/>
          <w:iCs w:val="0"/>
          <w:color w:val="auto"/>
          <w:sz w:val="20"/>
          <w:szCs w:val="20"/>
          <w:highlight w:val="none"/>
          <w:lang w:val="en-US" w:eastAsia="zh-CN"/>
        </w:rPr>
        <w:t>However, in our opinion, manufacture declaration and an upper bound limitation is contradictory. W</w:t>
      </w:r>
      <w:r>
        <w:rPr>
          <w:rFonts w:hint="default" w:ascii="Times New Roman" w:hAnsi="Times New Roman" w:eastAsia="Batang" w:cs="Times New Roman"/>
          <w:i w:val="0"/>
          <w:iCs w:val="0"/>
          <w:sz w:val="20"/>
          <w:szCs w:val="20"/>
          <w:lang w:val="en-US" w:eastAsia="zh-CN"/>
        </w:rPr>
        <w:t xml:space="preserve">e think it </w:t>
      </w:r>
      <w:r>
        <w:rPr>
          <w:rFonts w:hint="eastAsia" w:eastAsia="Batang" w:cs="Times New Roman"/>
          <w:i w:val="0"/>
          <w:iCs w:val="0"/>
          <w:sz w:val="20"/>
          <w:szCs w:val="20"/>
          <w:lang w:val="en-US" w:eastAsia="zh-CN"/>
        </w:rPr>
        <w:t>may not be proper</w:t>
      </w:r>
      <w:r>
        <w:rPr>
          <w:rFonts w:hint="default" w:ascii="Times New Roman" w:hAnsi="Times New Roman" w:eastAsia="Batang" w:cs="Times New Roman"/>
          <w:i w:val="0"/>
          <w:iCs w:val="0"/>
          <w:sz w:val="20"/>
          <w:szCs w:val="20"/>
          <w:lang w:val="en-US" w:eastAsia="zh-CN"/>
        </w:rPr>
        <w:t xml:space="preserve"> to define the upper bound since different manufactures have different implementations</w:t>
      </w:r>
      <w:r>
        <w:rPr>
          <w:rFonts w:hint="eastAsia" w:eastAsia="Batang" w:cs="Times New Roman"/>
          <w:i w:val="0"/>
          <w:iCs w:val="0"/>
          <w:sz w:val="20"/>
          <w:szCs w:val="20"/>
          <w:lang w:val="en-US" w:eastAsia="zh-CN"/>
        </w:rPr>
        <w:t>.</w:t>
      </w:r>
      <w:r>
        <w:rPr>
          <w:rFonts w:hint="eastAsia" w:cs="Times New Roman"/>
          <w:i w:val="0"/>
          <w:iCs w:val="0"/>
          <w:color w:val="auto"/>
          <w:sz w:val="20"/>
          <w:szCs w:val="20"/>
          <w:highlight w:val="none"/>
          <w:lang w:val="en-US" w:eastAsia="zh-CN"/>
        </w:rPr>
        <w:t xml:space="preserve"> </w:t>
      </w:r>
      <w:r>
        <w:rPr>
          <w:rFonts w:hint="default" w:ascii="Times New Roman" w:hAnsi="Times New Roman" w:eastAsia="Batang" w:cs="Times New Roman"/>
          <w:i w:val="0"/>
          <w:iCs w:val="0"/>
          <w:sz w:val="20"/>
          <w:szCs w:val="20"/>
          <w:lang w:val="en-US" w:eastAsia="zh-CN"/>
        </w:rPr>
        <w:t>How m</w:t>
      </w:r>
      <w:r>
        <w:rPr>
          <w:rFonts w:hint="eastAsia" w:eastAsia="Batang" w:cs="Times New Roman"/>
          <w:i w:val="0"/>
          <w:iCs w:val="0"/>
          <w:sz w:val="20"/>
          <w:szCs w:val="20"/>
          <w:lang w:val="en-US" w:eastAsia="zh-CN"/>
        </w:rPr>
        <w:t>uch</w:t>
      </w:r>
      <w:r>
        <w:rPr>
          <w:rFonts w:hint="default" w:ascii="Times New Roman" w:hAnsi="Times New Roman" w:eastAsia="Batang" w:cs="Times New Roman"/>
          <w:i w:val="0"/>
          <w:iCs w:val="0"/>
          <w:sz w:val="20"/>
          <w:szCs w:val="20"/>
          <w:lang w:val="en-US" w:eastAsia="zh-CN"/>
        </w:rPr>
        <w:t xml:space="preserve"> power can be boosted for </w:t>
      </w:r>
      <w:r>
        <w:rPr>
          <w:rFonts w:hint="eastAsia" w:eastAsia="Batang" w:cs="Times New Roman"/>
          <w:i w:val="0"/>
          <w:iCs w:val="0"/>
          <w:sz w:val="20"/>
          <w:szCs w:val="20"/>
          <w:lang w:val="en-US" w:eastAsia="zh-CN"/>
        </w:rPr>
        <w:t>LP-</w:t>
      </w:r>
      <w:r>
        <w:rPr>
          <w:rFonts w:hint="default" w:ascii="Times New Roman" w:hAnsi="Times New Roman" w:eastAsia="Batang" w:cs="Times New Roman"/>
          <w:i w:val="0"/>
          <w:iCs w:val="0"/>
          <w:sz w:val="20"/>
          <w:szCs w:val="20"/>
          <w:lang w:val="en-US" w:eastAsia="zh-CN"/>
        </w:rPr>
        <w:t>WUS depends on the implementations.</w:t>
      </w:r>
      <w:r>
        <w:rPr>
          <w:rFonts w:hint="eastAsia" w:eastAsia="Batang" w:cs="Times New Roman"/>
          <w:i w:val="0"/>
          <w:iCs w:val="0"/>
          <w:sz w:val="20"/>
          <w:szCs w:val="20"/>
          <w:lang w:val="en-US" w:eastAsia="zh-CN"/>
        </w:rPr>
        <w:t xml:space="preserve"> </w:t>
      </w:r>
      <w:r>
        <w:rPr>
          <w:rFonts w:hint="eastAsia" w:cs="Times New Roman"/>
          <w:i w:val="0"/>
          <w:iCs w:val="0"/>
          <w:color w:val="auto"/>
          <w:sz w:val="20"/>
          <w:szCs w:val="20"/>
          <w:highlight w:val="none"/>
          <w:lang w:val="en-US" w:eastAsia="zh-CN"/>
        </w:rPr>
        <w:t>If manufactures can provide products with good performance on NR signal quality and considerable out-of-band emission suppression, the LP-WUS power boosting should not be limited by the upper bound.</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color w:val="auto"/>
          <w:sz w:val="20"/>
          <w:szCs w:val="20"/>
          <w:highlight w:val="none"/>
          <w:lang w:val="en-US" w:eastAsia="zh-CN"/>
        </w:rPr>
      </w:pPr>
      <w:r>
        <w:rPr>
          <w:rFonts w:hint="eastAsia" w:cs="Times New Roman"/>
          <w:i w:val="0"/>
          <w:iCs w:val="0"/>
          <w:color w:val="auto"/>
          <w:sz w:val="20"/>
          <w:szCs w:val="20"/>
          <w:highlight w:val="none"/>
          <w:lang w:val="en-US" w:eastAsia="zh-CN"/>
        </w:rPr>
        <w:t xml:space="preserve">Therefore, we recommend to set a minimum LP-WUS power boosting level for each channel bandwidth. For narrow channel bandwidth, it could be 0 dB considering the effect on the left NR signal. For wide channel bandwidth, it could be 3 dB considering the possible out-of-band emission deterioration, or we can further discuss this value. Then the specific value of LP-WUS power boosting can be manufacture declaration. </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2: To set a minimum LP-WUS power boosting for each channel bandwidth, as shown in Table 2, and the specific value of LP-WUS power boosting can be manufacture declaration.</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cs="Times New Roman"/>
          <w:i w:val="0"/>
          <w:iCs w:val="0"/>
          <w:strike w:val="0"/>
          <w:dstrike w:val="0"/>
          <w:color w:val="auto"/>
          <w:sz w:val="20"/>
          <w:szCs w:val="20"/>
          <w:highlight w:val="none"/>
          <w:lang w:val="en-US" w:eastAsia="zh-CN"/>
        </w:rPr>
      </w:pPr>
      <w:r>
        <w:rPr>
          <w:rFonts w:hint="eastAsia" w:ascii="Times" w:hAnsi="Times" w:eastAsia="Batang"/>
          <w:b/>
          <w:bCs/>
          <w:i w:val="0"/>
          <w:iCs w:val="0"/>
          <w:strike w:val="0"/>
          <w:dstrike w:val="0"/>
          <w:color w:val="auto"/>
          <w:sz w:val="20"/>
          <w:szCs w:val="20"/>
          <w:lang w:val="en-US" w:eastAsia="zh-CN"/>
        </w:rPr>
        <w:t>Table 2  Maximum Permitted LP-WUS power boosting for different BW</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9"/>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94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trike w:val="0"/>
                <w:dstrike w:val="0"/>
                <w:color w:val="auto"/>
                <w:sz w:val="20"/>
                <w:szCs w:val="20"/>
                <w:vertAlign w:val="baseline"/>
                <w:lang w:val="en-US" w:eastAsia="zh-CN"/>
              </w:rPr>
            </w:pPr>
            <w:r>
              <w:rPr>
                <w:rFonts w:hint="eastAsia" w:ascii="Times" w:hAnsi="Times" w:eastAsia="Batang"/>
                <w:b/>
                <w:bCs/>
                <w:i w:val="0"/>
                <w:iCs w:val="0"/>
                <w:strike w:val="0"/>
                <w:dstrike w:val="0"/>
                <w:color w:val="auto"/>
                <w:sz w:val="20"/>
                <w:szCs w:val="20"/>
                <w:vertAlign w:val="baseline"/>
                <w:lang w:val="en-US" w:eastAsia="zh-CN"/>
              </w:rPr>
              <w:t>Channel BW (MHz)</w:t>
            </w:r>
          </w:p>
        </w:tc>
        <w:tc>
          <w:tcPr>
            <w:tcW w:w="2578"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trike w:val="0"/>
                <w:dstrike w:val="0"/>
                <w:color w:val="auto"/>
                <w:sz w:val="20"/>
                <w:szCs w:val="20"/>
                <w:vertAlign w:val="baseline"/>
                <w:lang w:val="en-US" w:eastAsia="zh-CN"/>
              </w:rPr>
            </w:pPr>
            <w:r>
              <w:rPr>
                <w:rFonts w:hint="eastAsia" w:ascii="Times" w:hAnsi="Times" w:eastAsia="Batang"/>
                <w:b/>
                <w:bCs/>
                <w:i w:val="0"/>
                <w:iCs w:val="0"/>
                <w:strike w:val="0"/>
                <w:dstrike w:val="0"/>
                <w:color w:val="auto"/>
                <w:sz w:val="20"/>
                <w:szCs w:val="20"/>
                <w:lang w:val="en-US" w:eastAsia="zh-CN"/>
              </w:rPr>
              <w:t>Minimum LP-WUS power boosting level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94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5, 10, 15, 20, 25, 30</w:t>
            </w:r>
          </w:p>
        </w:tc>
        <w:tc>
          <w:tcPr>
            <w:tcW w:w="2578"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949"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35, 40, 45, 50, 60, 70, 80, 90, 100</w:t>
            </w:r>
          </w:p>
        </w:tc>
        <w:tc>
          <w:tcPr>
            <w:tcW w:w="2578"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[3]</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Propose 1: Define LP-WUS RB power dynamic range as: The LP-WUS RB power dynamic range (or LP-WUS power boosting) is the difference between the average power of LP-WUS REs (which occupy certain REs within a NR transmission bandwidth configuration plus 15 kHz at each edge but not within the NR minimum guard band GB</w:t>
      </w:r>
      <w:r>
        <w:rPr>
          <w:rFonts w:hint="eastAsia" w:cs="Times New Roman"/>
          <w:b/>
          <w:bCs/>
          <w:i w:val="0"/>
          <w:iCs w:val="0"/>
          <w:color w:val="auto"/>
          <w:sz w:val="20"/>
          <w:szCs w:val="20"/>
          <w:highlight w:val="none"/>
          <w:vertAlign w:val="subscript"/>
          <w:lang w:val="en-US" w:eastAsia="zh-CN"/>
        </w:rPr>
        <w:t>Channel</w:t>
      </w:r>
      <w:r>
        <w:rPr>
          <w:rFonts w:hint="eastAsia" w:cs="Times New Roman"/>
          <w:b/>
          <w:bCs/>
          <w:i w:val="0"/>
          <w:iCs w:val="0"/>
          <w:color w:val="auto"/>
          <w:sz w:val="20"/>
          <w:szCs w:val="20"/>
          <w:highlight w:val="none"/>
          <w:lang w:val="en-US" w:eastAsia="zh-CN"/>
        </w:rPr>
        <w:t>)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b/>
          <w:bCs/>
          <w:i w:val="0"/>
          <w:iCs w:val="0"/>
          <w:sz w:val="20"/>
          <w:szCs w:val="20"/>
          <w:highlight w:val="none"/>
          <w:lang w:val="en-US" w:eastAsia="zh-CN"/>
        </w:rPr>
        <w:t>Observation 1: As the power of LP-WUS increases, the power of NR signal decreases, which will deteriorate the coverage of NR signals.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color w:val="FF0000"/>
          <w:sz w:val="20"/>
          <w:szCs w:val="20"/>
          <w:highlight w:val="none"/>
          <w:lang w:val="en-US" w:eastAsia="zh-CN"/>
        </w:rPr>
      </w:pPr>
      <w:r>
        <w:rPr>
          <w:rFonts w:hint="eastAsia" w:cs="Times New Roman"/>
          <w:b/>
          <w:bCs/>
          <w:i w:val="0"/>
          <w:iCs w:val="0"/>
          <w:sz w:val="20"/>
          <w:szCs w:val="20"/>
          <w:highlight w:val="none"/>
          <w:lang w:val="en-US" w:eastAsia="zh-CN"/>
        </w:rPr>
        <w:t>Observation 2: For the case that LP-WUS is configured at edge or nearly edge, LP-WUS power boosting may deteriorate out-of-band emissions.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2: To set a minimum LP-WUS power boosting for each channel bandwidth, as shown in Table 2, and the specific value of LP-WUS power boosting can be manufacture declaration.</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default" w:cs="Times New Roman"/>
          <w:i w:val="0"/>
          <w:iCs w:val="0"/>
          <w:strike w:val="0"/>
          <w:dstrike w:val="0"/>
          <w:color w:val="auto"/>
          <w:sz w:val="20"/>
          <w:szCs w:val="20"/>
          <w:highlight w:val="none"/>
          <w:lang w:val="en-US" w:eastAsia="zh-CN"/>
        </w:rPr>
      </w:pPr>
      <w:r>
        <w:rPr>
          <w:rFonts w:hint="eastAsia" w:ascii="Times" w:hAnsi="Times" w:eastAsia="Batang"/>
          <w:b/>
          <w:bCs/>
          <w:i w:val="0"/>
          <w:iCs w:val="0"/>
          <w:strike w:val="0"/>
          <w:dstrike w:val="0"/>
          <w:color w:val="auto"/>
          <w:sz w:val="20"/>
          <w:szCs w:val="20"/>
          <w:lang w:val="en-US" w:eastAsia="zh-CN"/>
        </w:rPr>
        <w:t>Table 2  Maximum Permitted LP-WUS power boosting for different BW</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976"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trike w:val="0"/>
                <w:dstrike w:val="0"/>
                <w:color w:val="auto"/>
                <w:sz w:val="20"/>
                <w:szCs w:val="20"/>
                <w:vertAlign w:val="baseline"/>
                <w:lang w:val="en-US" w:eastAsia="zh-CN"/>
              </w:rPr>
            </w:pPr>
            <w:r>
              <w:rPr>
                <w:rFonts w:hint="eastAsia" w:ascii="Times" w:hAnsi="Times" w:eastAsia="Batang"/>
                <w:b/>
                <w:bCs/>
                <w:i w:val="0"/>
                <w:iCs w:val="0"/>
                <w:strike w:val="0"/>
                <w:dstrike w:val="0"/>
                <w:color w:val="auto"/>
                <w:sz w:val="20"/>
                <w:szCs w:val="20"/>
                <w:vertAlign w:val="baseline"/>
                <w:lang w:val="en-US" w:eastAsia="zh-CN"/>
              </w:rPr>
              <w:t>Channel BW (MHz)</w:t>
            </w:r>
          </w:p>
        </w:tc>
        <w:tc>
          <w:tcPr>
            <w:tcW w:w="255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trike w:val="0"/>
                <w:dstrike w:val="0"/>
                <w:color w:val="auto"/>
                <w:sz w:val="20"/>
                <w:szCs w:val="20"/>
                <w:vertAlign w:val="baseline"/>
                <w:lang w:val="en-US" w:eastAsia="zh-CN"/>
              </w:rPr>
            </w:pPr>
            <w:r>
              <w:rPr>
                <w:rFonts w:hint="eastAsia" w:ascii="Times" w:hAnsi="Times" w:eastAsia="Batang"/>
                <w:b/>
                <w:bCs/>
                <w:i w:val="0"/>
                <w:iCs w:val="0"/>
                <w:strike w:val="0"/>
                <w:dstrike w:val="0"/>
                <w:color w:val="auto"/>
                <w:sz w:val="20"/>
                <w:szCs w:val="20"/>
                <w:lang w:val="en-US" w:eastAsia="zh-CN"/>
              </w:rPr>
              <w:t>Minimum LP-WUS power boosting level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976"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5, 10, 15, 20, 25, 30</w:t>
            </w:r>
          </w:p>
        </w:tc>
        <w:tc>
          <w:tcPr>
            <w:tcW w:w="255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976"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35, 40, 45, 50, 60, 70, 80, 90, 100</w:t>
            </w:r>
          </w:p>
        </w:tc>
        <w:tc>
          <w:tcPr>
            <w:tcW w:w="255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trike w:val="0"/>
                <w:dstrike w:val="0"/>
                <w:color w:val="auto"/>
                <w:sz w:val="20"/>
                <w:szCs w:val="20"/>
                <w:vertAlign w:val="baseline"/>
                <w:lang w:val="en-US" w:eastAsia="zh-CN"/>
              </w:rPr>
            </w:pPr>
            <w:r>
              <w:rPr>
                <w:rFonts w:hint="eastAsia" w:ascii="Times" w:hAnsi="Times" w:eastAsia="Batang"/>
                <w:i w:val="0"/>
                <w:iCs w:val="0"/>
                <w:strike w:val="0"/>
                <w:dstrike w:val="0"/>
                <w:color w:val="auto"/>
                <w:sz w:val="20"/>
                <w:szCs w:val="20"/>
                <w:vertAlign w:val="baseline"/>
                <w:lang w:val="en-US" w:eastAsia="zh-CN"/>
              </w:rPr>
              <w:t>[3]</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7"/>
        </w:numPr>
        <w:kinsoku/>
        <w:wordWrap/>
        <w:overflowPunct/>
        <w:topLinePunct w:val="0"/>
        <w:autoSpaceDE/>
        <w:autoSpaceDN/>
        <w:bidi w:val="0"/>
        <w:adjustRightInd/>
        <w:snapToGrid/>
        <w:spacing w:before="0" w:after="0" w:line="240" w:lineRule="auto"/>
        <w:ind w:left="0" w:leftChars="0" w:firstLine="0" w:firstLineChars="0"/>
        <w:textAlignment w:val="auto"/>
        <w:rPr>
          <w:rFonts w:hint="eastAsia"/>
          <w:lang w:val="en-US" w:eastAsia="zh-CN"/>
        </w:rPr>
      </w:pPr>
      <w:r>
        <w:rPr>
          <w:rFonts w:hint="eastAsia"/>
          <w:lang w:val="en-US" w:eastAsia="zh-CN"/>
        </w:rPr>
        <w:t xml:space="preserve">R4-2307012, (R1-2304251) Reply LS to RAN4 on LP WUR architectures, </w:t>
      </w:r>
      <w:r>
        <w:rPr>
          <w:rFonts w:hint="eastAsia"/>
          <w:lang w:val="en-US" w:eastAsia="en-US"/>
        </w:rPr>
        <w:t>Incheon, South Korea</w:t>
      </w:r>
      <w:r>
        <w:rPr>
          <w:rFonts w:hint="eastAsia"/>
          <w:lang w:val="en-US" w:eastAsia="zh-CN"/>
        </w:rPr>
        <w:t>, #RAN4 107</w:t>
      </w:r>
    </w:p>
    <w:p>
      <w:pPr>
        <w:pStyle w:val="9"/>
        <w:keepNext w:val="0"/>
        <w:keepLines w:val="0"/>
        <w:pageBreakBefore w:val="0"/>
        <w:widowControl/>
        <w:numPr>
          <w:ilvl w:val="0"/>
          <w:numId w:val="7"/>
        </w:numPr>
        <w:kinsoku/>
        <w:wordWrap/>
        <w:overflowPunct/>
        <w:topLinePunct w:val="0"/>
        <w:autoSpaceDE/>
        <w:autoSpaceDN/>
        <w:bidi w:val="0"/>
        <w:adjustRightInd/>
        <w:snapToGrid/>
        <w:spacing w:before="0" w:after="0" w:line="240" w:lineRule="auto"/>
        <w:ind w:left="0" w:leftChars="0" w:firstLine="0" w:firstLineChars="0"/>
        <w:textAlignment w:val="auto"/>
        <w:rPr>
          <w:rFonts w:hint="eastAsia"/>
          <w:lang w:val="en-US" w:eastAsia="zh-CN"/>
        </w:rPr>
      </w:pPr>
      <w:r>
        <w:rPr>
          <w:rFonts w:hint="eastAsia"/>
          <w:lang w:val="en-US" w:eastAsia="zh-CN"/>
        </w:rPr>
        <w:t>R4-2320084, Further consideration on LP-WUS, ZTE, Chicago, USA, RAN4 #109</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Gothic Medium">
    <w:panose1 w:val="020B0500000000000000"/>
    <w:charset w:val="80"/>
    <w:family w:val="swiss"/>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A90E4D"/>
    <w:multiLevelType w:val="multilevel"/>
    <w:tmpl w:val="58A90E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5E9E16B2"/>
    <w:multiLevelType w:val="multilevel"/>
    <w:tmpl w:val="5E9E16B2"/>
    <w:lvl w:ilvl="0" w:tentative="0">
      <w:start w:val="1"/>
      <w:numFmt w:val="bullet"/>
      <w:lvlText w:val="-"/>
      <w:lvlJc w:val="left"/>
      <w:pPr>
        <w:ind w:left="420" w:hanging="420"/>
      </w:pPr>
      <w:rPr>
        <w:rFonts w:hint="eastAsia" w:ascii="Yu Gothic Medium" w:hAnsi="Yu Gothic Medium" w:eastAsia="Yu Gothic Medium"/>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1"/>
  </w:num>
  <w:num w:numId="3">
    <w:abstractNumId w:val="0"/>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04E"/>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435D3B"/>
    <w:rsid w:val="0153531E"/>
    <w:rsid w:val="01624027"/>
    <w:rsid w:val="01633D2A"/>
    <w:rsid w:val="0165337E"/>
    <w:rsid w:val="01795E27"/>
    <w:rsid w:val="0180738E"/>
    <w:rsid w:val="018A2647"/>
    <w:rsid w:val="018B3BAA"/>
    <w:rsid w:val="01945324"/>
    <w:rsid w:val="01957959"/>
    <w:rsid w:val="01BA0053"/>
    <w:rsid w:val="01CA556D"/>
    <w:rsid w:val="01DC1C82"/>
    <w:rsid w:val="01DC200E"/>
    <w:rsid w:val="01F86CD9"/>
    <w:rsid w:val="02065A2E"/>
    <w:rsid w:val="020928F5"/>
    <w:rsid w:val="020F5D2B"/>
    <w:rsid w:val="0217354E"/>
    <w:rsid w:val="021A2217"/>
    <w:rsid w:val="021A5187"/>
    <w:rsid w:val="02281CFD"/>
    <w:rsid w:val="0228598B"/>
    <w:rsid w:val="02343561"/>
    <w:rsid w:val="023C3CAF"/>
    <w:rsid w:val="025B0AD8"/>
    <w:rsid w:val="02626E3D"/>
    <w:rsid w:val="02721826"/>
    <w:rsid w:val="02740574"/>
    <w:rsid w:val="02770E1A"/>
    <w:rsid w:val="028C48C4"/>
    <w:rsid w:val="0295383F"/>
    <w:rsid w:val="0298367A"/>
    <w:rsid w:val="02C409AE"/>
    <w:rsid w:val="02CA1321"/>
    <w:rsid w:val="02D254EC"/>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445F7F"/>
    <w:rsid w:val="045D198A"/>
    <w:rsid w:val="046824A8"/>
    <w:rsid w:val="0478015E"/>
    <w:rsid w:val="04B43FA7"/>
    <w:rsid w:val="04BF26EE"/>
    <w:rsid w:val="04D16755"/>
    <w:rsid w:val="04D20004"/>
    <w:rsid w:val="04E54CF2"/>
    <w:rsid w:val="04EB6A3A"/>
    <w:rsid w:val="04F46C46"/>
    <w:rsid w:val="04FC2C75"/>
    <w:rsid w:val="050F2775"/>
    <w:rsid w:val="0526729B"/>
    <w:rsid w:val="05402104"/>
    <w:rsid w:val="054248F2"/>
    <w:rsid w:val="05510DD1"/>
    <w:rsid w:val="05785C74"/>
    <w:rsid w:val="05847419"/>
    <w:rsid w:val="058704DA"/>
    <w:rsid w:val="059160D0"/>
    <w:rsid w:val="05AE018C"/>
    <w:rsid w:val="05B32ECD"/>
    <w:rsid w:val="05DB1B61"/>
    <w:rsid w:val="05FB4E31"/>
    <w:rsid w:val="05FF0D9C"/>
    <w:rsid w:val="062937AB"/>
    <w:rsid w:val="062941CA"/>
    <w:rsid w:val="062A620F"/>
    <w:rsid w:val="063661E5"/>
    <w:rsid w:val="064B00B0"/>
    <w:rsid w:val="064E48E4"/>
    <w:rsid w:val="065C3A1D"/>
    <w:rsid w:val="06654A0B"/>
    <w:rsid w:val="06686223"/>
    <w:rsid w:val="06823D8F"/>
    <w:rsid w:val="06883FFB"/>
    <w:rsid w:val="068F48CC"/>
    <w:rsid w:val="06A023FD"/>
    <w:rsid w:val="06C11394"/>
    <w:rsid w:val="06C30854"/>
    <w:rsid w:val="06C93669"/>
    <w:rsid w:val="06CC69B4"/>
    <w:rsid w:val="06CD6519"/>
    <w:rsid w:val="06D84A8A"/>
    <w:rsid w:val="06F36A7A"/>
    <w:rsid w:val="07122035"/>
    <w:rsid w:val="07171551"/>
    <w:rsid w:val="07214293"/>
    <w:rsid w:val="072144C3"/>
    <w:rsid w:val="0734792D"/>
    <w:rsid w:val="07391925"/>
    <w:rsid w:val="073F3648"/>
    <w:rsid w:val="074157D2"/>
    <w:rsid w:val="074A5F1C"/>
    <w:rsid w:val="07622262"/>
    <w:rsid w:val="078F46FE"/>
    <w:rsid w:val="0793078D"/>
    <w:rsid w:val="07970803"/>
    <w:rsid w:val="07A9337A"/>
    <w:rsid w:val="07AB0366"/>
    <w:rsid w:val="07BA2D18"/>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71DC3"/>
    <w:rsid w:val="08CA745A"/>
    <w:rsid w:val="08DE097A"/>
    <w:rsid w:val="08E37BAD"/>
    <w:rsid w:val="08EE2ED2"/>
    <w:rsid w:val="08F869E1"/>
    <w:rsid w:val="08FB28C9"/>
    <w:rsid w:val="090F5236"/>
    <w:rsid w:val="0924260A"/>
    <w:rsid w:val="092553BF"/>
    <w:rsid w:val="09294F7D"/>
    <w:rsid w:val="092C61F8"/>
    <w:rsid w:val="095C0F0C"/>
    <w:rsid w:val="09646BE3"/>
    <w:rsid w:val="09674661"/>
    <w:rsid w:val="097E672F"/>
    <w:rsid w:val="09825F02"/>
    <w:rsid w:val="09A2613C"/>
    <w:rsid w:val="09AB6C45"/>
    <w:rsid w:val="09E20449"/>
    <w:rsid w:val="09E5085D"/>
    <w:rsid w:val="09FC388C"/>
    <w:rsid w:val="0A0F5E0F"/>
    <w:rsid w:val="0A153B05"/>
    <w:rsid w:val="0A2802DC"/>
    <w:rsid w:val="0A4B6F30"/>
    <w:rsid w:val="0A582AB7"/>
    <w:rsid w:val="0A5A32F8"/>
    <w:rsid w:val="0A665D1E"/>
    <w:rsid w:val="0A731B50"/>
    <w:rsid w:val="0A8D4756"/>
    <w:rsid w:val="0A8E34E6"/>
    <w:rsid w:val="0AB60DEE"/>
    <w:rsid w:val="0AC9278E"/>
    <w:rsid w:val="0B2E106F"/>
    <w:rsid w:val="0B2F5F6B"/>
    <w:rsid w:val="0B3E5ECD"/>
    <w:rsid w:val="0B5950D6"/>
    <w:rsid w:val="0B61638C"/>
    <w:rsid w:val="0B724963"/>
    <w:rsid w:val="0B725220"/>
    <w:rsid w:val="0B7D64C0"/>
    <w:rsid w:val="0B802D0D"/>
    <w:rsid w:val="0B8D5FD9"/>
    <w:rsid w:val="0B9641FD"/>
    <w:rsid w:val="0B9A6376"/>
    <w:rsid w:val="0B9C3E91"/>
    <w:rsid w:val="0BC176FB"/>
    <w:rsid w:val="0BF37D09"/>
    <w:rsid w:val="0BF41031"/>
    <w:rsid w:val="0C0C5682"/>
    <w:rsid w:val="0C1D57F9"/>
    <w:rsid w:val="0C3559BA"/>
    <w:rsid w:val="0C684AC1"/>
    <w:rsid w:val="0C7962B1"/>
    <w:rsid w:val="0C7A666C"/>
    <w:rsid w:val="0C7D5162"/>
    <w:rsid w:val="0C867BFF"/>
    <w:rsid w:val="0C953742"/>
    <w:rsid w:val="0CA242EA"/>
    <w:rsid w:val="0CA74A68"/>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7F13"/>
    <w:rsid w:val="0DB243FB"/>
    <w:rsid w:val="0DC3083F"/>
    <w:rsid w:val="0DDB3390"/>
    <w:rsid w:val="0DE052FE"/>
    <w:rsid w:val="0DFF2B1F"/>
    <w:rsid w:val="0E214766"/>
    <w:rsid w:val="0E2340BB"/>
    <w:rsid w:val="0E246A44"/>
    <w:rsid w:val="0E3330D0"/>
    <w:rsid w:val="0E3916C1"/>
    <w:rsid w:val="0E4E5304"/>
    <w:rsid w:val="0E5576D4"/>
    <w:rsid w:val="0E5F6CC6"/>
    <w:rsid w:val="0E6D2010"/>
    <w:rsid w:val="0E7519BC"/>
    <w:rsid w:val="0E76388C"/>
    <w:rsid w:val="0E992415"/>
    <w:rsid w:val="0E9E4D5A"/>
    <w:rsid w:val="0EAA7EC3"/>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BC71ED"/>
    <w:rsid w:val="0FDA7DDA"/>
    <w:rsid w:val="0FF721A8"/>
    <w:rsid w:val="0FFA1150"/>
    <w:rsid w:val="10490BAD"/>
    <w:rsid w:val="10512C80"/>
    <w:rsid w:val="10841D08"/>
    <w:rsid w:val="108F05CA"/>
    <w:rsid w:val="109241A4"/>
    <w:rsid w:val="109615A9"/>
    <w:rsid w:val="109658C1"/>
    <w:rsid w:val="10A81A96"/>
    <w:rsid w:val="10D6699E"/>
    <w:rsid w:val="10E63E4A"/>
    <w:rsid w:val="11104883"/>
    <w:rsid w:val="11291D63"/>
    <w:rsid w:val="112D72C6"/>
    <w:rsid w:val="113F3856"/>
    <w:rsid w:val="11683FF9"/>
    <w:rsid w:val="118C0750"/>
    <w:rsid w:val="11A50508"/>
    <w:rsid w:val="11A63D04"/>
    <w:rsid w:val="11FD3DC0"/>
    <w:rsid w:val="120639A8"/>
    <w:rsid w:val="12121726"/>
    <w:rsid w:val="122250B4"/>
    <w:rsid w:val="123E5A4F"/>
    <w:rsid w:val="12447798"/>
    <w:rsid w:val="125D4125"/>
    <w:rsid w:val="12771554"/>
    <w:rsid w:val="129F332C"/>
    <w:rsid w:val="12AA1F62"/>
    <w:rsid w:val="12AE4121"/>
    <w:rsid w:val="12B51A8D"/>
    <w:rsid w:val="12C041D4"/>
    <w:rsid w:val="12CF1D40"/>
    <w:rsid w:val="12F14732"/>
    <w:rsid w:val="12F7602D"/>
    <w:rsid w:val="13437E80"/>
    <w:rsid w:val="134C3538"/>
    <w:rsid w:val="13583391"/>
    <w:rsid w:val="137F4008"/>
    <w:rsid w:val="1390333E"/>
    <w:rsid w:val="13997C09"/>
    <w:rsid w:val="139C110B"/>
    <w:rsid w:val="13BE3B38"/>
    <w:rsid w:val="13C30FC1"/>
    <w:rsid w:val="13CD4D8B"/>
    <w:rsid w:val="13E476E4"/>
    <w:rsid w:val="13F672DD"/>
    <w:rsid w:val="13FB7B95"/>
    <w:rsid w:val="13FF44D4"/>
    <w:rsid w:val="140A2CA4"/>
    <w:rsid w:val="140C5848"/>
    <w:rsid w:val="1415743A"/>
    <w:rsid w:val="141B497D"/>
    <w:rsid w:val="14480142"/>
    <w:rsid w:val="144E5CD4"/>
    <w:rsid w:val="145F0D59"/>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7674F6"/>
    <w:rsid w:val="157A419A"/>
    <w:rsid w:val="158270AF"/>
    <w:rsid w:val="158E79FA"/>
    <w:rsid w:val="158F210D"/>
    <w:rsid w:val="159427E9"/>
    <w:rsid w:val="15A85596"/>
    <w:rsid w:val="15AA1B7E"/>
    <w:rsid w:val="15BB0608"/>
    <w:rsid w:val="15C225B8"/>
    <w:rsid w:val="15DD5A1F"/>
    <w:rsid w:val="15E12A88"/>
    <w:rsid w:val="15E95672"/>
    <w:rsid w:val="15F9350E"/>
    <w:rsid w:val="15FF6183"/>
    <w:rsid w:val="16054980"/>
    <w:rsid w:val="160571EE"/>
    <w:rsid w:val="161C28E0"/>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7060D55"/>
    <w:rsid w:val="170A0E30"/>
    <w:rsid w:val="1723727A"/>
    <w:rsid w:val="17276F5B"/>
    <w:rsid w:val="174F4BA1"/>
    <w:rsid w:val="175A0AE2"/>
    <w:rsid w:val="1764674F"/>
    <w:rsid w:val="176C095E"/>
    <w:rsid w:val="178F5381"/>
    <w:rsid w:val="179855D1"/>
    <w:rsid w:val="179F1E7A"/>
    <w:rsid w:val="17A37760"/>
    <w:rsid w:val="17A613DC"/>
    <w:rsid w:val="17AA27DB"/>
    <w:rsid w:val="17AF2DFF"/>
    <w:rsid w:val="17B943BD"/>
    <w:rsid w:val="17C527E0"/>
    <w:rsid w:val="18072BBA"/>
    <w:rsid w:val="180B6554"/>
    <w:rsid w:val="1831099E"/>
    <w:rsid w:val="184061B8"/>
    <w:rsid w:val="184E13FF"/>
    <w:rsid w:val="18675E2F"/>
    <w:rsid w:val="186A7F3C"/>
    <w:rsid w:val="187D1E98"/>
    <w:rsid w:val="188A0D46"/>
    <w:rsid w:val="188D7449"/>
    <w:rsid w:val="189553E8"/>
    <w:rsid w:val="189A62E8"/>
    <w:rsid w:val="18AC426F"/>
    <w:rsid w:val="18EF4764"/>
    <w:rsid w:val="18F279A0"/>
    <w:rsid w:val="191372F1"/>
    <w:rsid w:val="191F2375"/>
    <w:rsid w:val="192A6B82"/>
    <w:rsid w:val="192A78E5"/>
    <w:rsid w:val="192C06DB"/>
    <w:rsid w:val="19361033"/>
    <w:rsid w:val="19607D81"/>
    <w:rsid w:val="19640C89"/>
    <w:rsid w:val="196B73C9"/>
    <w:rsid w:val="197D1DB8"/>
    <w:rsid w:val="19860B7E"/>
    <w:rsid w:val="199503FD"/>
    <w:rsid w:val="19A45D24"/>
    <w:rsid w:val="19AF5CF6"/>
    <w:rsid w:val="19C63D4F"/>
    <w:rsid w:val="19C65E12"/>
    <w:rsid w:val="19C735BB"/>
    <w:rsid w:val="19DA3A4C"/>
    <w:rsid w:val="19F14713"/>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B0D5CFB"/>
    <w:rsid w:val="1B2516D5"/>
    <w:rsid w:val="1B2B089B"/>
    <w:rsid w:val="1B371569"/>
    <w:rsid w:val="1B3C4343"/>
    <w:rsid w:val="1B3F102F"/>
    <w:rsid w:val="1B4E4B33"/>
    <w:rsid w:val="1B4E745B"/>
    <w:rsid w:val="1B6B549A"/>
    <w:rsid w:val="1B7E5BC4"/>
    <w:rsid w:val="1B870B5B"/>
    <w:rsid w:val="1B8A48C1"/>
    <w:rsid w:val="1B8B6B38"/>
    <w:rsid w:val="1B927E51"/>
    <w:rsid w:val="1B9A27F5"/>
    <w:rsid w:val="1BA220C5"/>
    <w:rsid w:val="1BA71412"/>
    <w:rsid w:val="1BBC09F6"/>
    <w:rsid w:val="1BBE4801"/>
    <w:rsid w:val="1BC7007B"/>
    <w:rsid w:val="1BD34730"/>
    <w:rsid w:val="1BDF455D"/>
    <w:rsid w:val="1BE30335"/>
    <w:rsid w:val="1C1A373E"/>
    <w:rsid w:val="1C297CFC"/>
    <w:rsid w:val="1C3571F6"/>
    <w:rsid w:val="1C3672FA"/>
    <w:rsid w:val="1C3A751E"/>
    <w:rsid w:val="1C423FC4"/>
    <w:rsid w:val="1C47233F"/>
    <w:rsid w:val="1C5D00DA"/>
    <w:rsid w:val="1C5D0DA4"/>
    <w:rsid w:val="1C7D0C1A"/>
    <w:rsid w:val="1C7E2DD6"/>
    <w:rsid w:val="1C905109"/>
    <w:rsid w:val="1CA53FA1"/>
    <w:rsid w:val="1CAD4CCB"/>
    <w:rsid w:val="1CAF7573"/>
    <w:rsid w:val="1CCC40C9"/>
    <w:rsid w:val="1CDD5D84"/>
    <w:rsid w:val="1D186F9D"/>
    <w:rsid w:val="1D1C598A"/>
    <w:rsid w:val="1D504421"/>
    <w:rsid w:val="1D636225"/>
    <w:rsid w:val="1D7E7249"/>
    <w:rsid w:val="1D7F6660"/>
    <w:rsid w:val="1D956B63"/>
    <w:rsid w:val="1DA155EF"/>
    <w:rsid w:val="1DA251E1"/>
    <w:rsid w:val="1DA67F64"/>
    <w:rsid w:val="1DA93704"/>
    <w:rsid w:val="1DC5127B"/>
    <w:rsid w:val="1DDE1A57"/>
    <w:rsid w:val="1DF679C8"/>
    <w:rsid w:val="1E224F27"/>
    <w:rsid w:val="1E2A7432"/>
    <w:rsid w:val="1E343C5D"/>
    <w:rsid w:val="1E37411F"/>
    <w:rsid w:val="1E5E301B"/>
    <w:rsid w:val="1E634732"/>
    <w:rsid w:val="1E752FA6"/>
    <w:rsid w:val="1ECF1323"/>
    <w:rsid w:val="1ECF4A99"/>
    <w:rsid w:val="1EDC33BC"/>
    <w:rsid w:val="1EF72D37"/>
    <w:rsid w:val="1F2078E0"/>
    <w:rsid w:val="1F211865"/>
    <w:rsid w:val="1F295D72"/>
    <w:rsid w:val="1F4325C8"/>
    <w:rsid w:val="1F520B16"/>
    <w:rsid w:val="1F595BBB"/>
    <w:rsid w:val="1F7044DA"/>
    <w:rsid w:val="1F777E85"/>
    <w:rsid w:val="1F782E4D"/>
    <w:rsid w:val="1F7C7957"/>
    <w:rsid w:val="1FC127CE"/>
    <w:rsid w:val="1FD21E35"/>
    <w:rsid w:val="1FD96681"/>
    <w:rsid w:val="1FE10390"/>
    <w:rsid w:val="1FE73560"/>
    <w:rsid w:val="1FEE7A9C"/>
    <w:rsid w:val="200E58BD"/>
    <w:rsid w:val="203159E0"/>
    <w:rsid w:val="2041466C"/>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171155"/>
    <w:rsid w:val="212E17DE"/>
    <w:rsid w:val="213271D8"/>
    <w:rsid w:val="213E655D"/>
    <w:rsid w:val="214D4FE0"/>
    <w:rsid w:val="215026E7"/>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7B42A0"/>
    <w:rsid w:val="228A40D4"/>
    <w:rsid w:val="228F22EB"/>
    <w:rsid w:val="228F6A6B"/>
    <w:rsid w:val="22922A7B"/>
    <w:rsid w:val="22A03D45"/>
    <w:rsid w:val="22B37446"/>
    <w:rsid w:val="22BB2C46"/>
    <w:rsid w:val="22CB0F22"/>
    <w:rsid w:val="22D126DE"/>
    <w:rsid w:val="22D279A8"/>
    <w:rsid w:val="22DE275C"/>
    <w:rsid w:val="22F05B87"/>
    <w:rsid w:val="22F92970"/>
    <w:rsid w:val="23034661"/>
    <w:rsid w:val="23047581"/>
    <w:rsid w:val="230511FB"/>
    <w:rsid w:val="230E6CDE"/>
    <w:rsid w:val="231D7D99"/>
    <w:rsid w:val="233F7861"/>
    <w:rsid w:val="2342728C"/>
    <w:rsid w:val="234F141B"/>
    <w:rsid w:val="235408E6"/>
    <w:rsid w:val="23774488"/>
    <w:rsid w:val="23A308EE"/>
    <w:rsid w:val="23AD2144"/>
    <w:rsid w:val="23B07449"/>
    <w:rsid w:val="23CC55B1"/>
    <w:rsid w:val="23D60547"/>
    <w:rsid w:val="23EB0393"/>
    <w:rsid w:val="23EC61B5"/>
    <w:rsid w:val="23FD5BE3"/>
    <w:rsid w:val="24072EA9"/>
    <w:rsid w:val="2438587A"/>
    <w:rsid w:val="24386853"/>
    <w:rsid w:val="243E50DA"/>
    <w:rsid w:val="246D212F"/>
    <w:rsid w:val="24715F69"/>
    <w:rsid w:val="24760A5D"/>
    <w:rsid w:val="24992B5E"/>
    <w:rsid w:val="24A9218A"/>
    <w:rsid w:val="24B140D4"/>
    <w:rsid w:val="24B33FFF"/>
    <w:rsid w:val="24C569C9"/>
    <w:rsid w:val="24CA43D1"/>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D609E2"/>
    <w:rsid w:val="26DE1868"/>
    <w:rsid w:val="26ED14DB"/>
    <w:rsid w:val="270F3C75"/>
    <w:rsid w:val="27157D13"/>
    <w:rsid w:val="27543CE2"/>
    <w:rsid w:val="276136D1"/>
    <w:rsid w:val="2766357B"/>
    <w:rsid w:val="27814FF8"/>
    <w:rsid w:val="278E4856"/>
    <w:rsid w:val="27930B1B"/>
    <w:rsid w:val="279A6599"/>
    <w:rsid w:val="27A4419F"/>
    <w:rsid w:val="27A931B8"/>
    <w:rsid w:val="27AB7AFD"/>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933D3"/>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B222C"/>
    <w:rsid w:val="2A331695"/>
    <w:rsid w:val="2A442E66"/>
    <w:rsid w:val="2A4A1ED4"/>
    <w:rsid w:val="2A553548"/>
    <w:rsid w:val="2A6B0EB4"/>
    <w:rsid w:val="2A7049D1"/>
    <w:rsid w:val="2A970008"/>
    <w:rsid w:val="2AA60E99"/>
    <w:rsid w:val="2AAE5692"/>
    <w:rsid w:val="2AB04251"/>
    <w:rsid w:val="2AB04D93"/>
    <w:rsid w:val="2ABE7215"/>
    <w:rsid w:val="2AD76897"/>
    <w:rsid w:val="2ADB482F"/>
    <w:rsid w:val="2AE01B62"/>
    <w:rsid w:val="2AE558B3"/>
    <w:rsid w:val="2AE8229B"/>
    <w:rsid w:val="2AE92316"/>
    <w:rsid w:val="2AEC42E5"/>
    <w:rsid w:val="2AFC6512"/>
    <w:rsid w:val="2B034D47"/>
    <w:rsid w:val="2B2629D8"/>
    <w:rsid w:val="2B271F5E"/>
    <w:rsid w:val="2B2D1028"/>
    <w:rsid w:val="2B2E3C18"/>
    <w:rsid w:val="2B406C5D"/>
    <w:rsid w:val="2B4D413E"/>
    <w:rsid w:val="2B641C02"/>
    <w:rsid w:val="2B6F681F"/>
    <w:rsid w:val="2B8302EB"/>
    <w:rsid w:val="2B844BD6"/>
    <w:rsid w:val="2B893BA3"/>
    <w:rsid w:val="2B992A15"/>
    <w:rsid w:val="2B9C114B"/>
    <w:rsid w:val="2B9E2538"/>
    <w:rsid w:val="2BBC1D86"/>
    <w:rsid w:val="2BC82480"/>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91D44"/>
    <w:rsid w:val="2CD46AFB"/>
    <w:rsid w:val="2CDC2898"/>
    <w:rsid w:val="2CE15438"/>
    <w:rsid w:val="2D151F6D"/>
    <w:rsid w:val="2D1D4166"/>
    <w:rsid w:val="2D291F09"/>
    <w:rsid w:val="2D3416FA"/>
    <w:rsid w:val="2D402CFE"/>
    <w:rsid w:val="2D5152AE"/>
    <w:rsid w:val="2D555CB7"/>
    <w:rsid w:val="2D595EBC"/>
    <w:rsid w:val="2D5E586A"/>
    <w:rsid w:val="2D61248D"/>
    <w:rsid w:val="2D68440E"/>
    <w:rsid w:val="2D6D5152"/>
    <w:rsid w:val="2D812190"/>
    <w:rsid w:val="2DA94150"/>
    <w:rsid w:val="2DBB0B00"/>
    <w:rsid w:val="2DD854F5"/>
    <w:rsid w:val="2DEA643F"/>
    <w:rsid w:val="2E0C79CF"/>
    <w:rsid w:val="2E1176AC"/>
    <w:rsid w:val="2E1E4D4B"/>
    <w:rsid w:val="2E26750E"/>
    <w:rsid w:val="2E2701FF"/>
    <w:rsid w:val="2E2D216F"/>
    <w:rsid w:val="2E51332D"/>
    <w:rsid w:val="2E5D7141"/>
    <w:rsid w:val="2E613ECA"/>
    <w:rsid w:val="2EA4705E"/>
    <w:rsid w:val="2EA5244A"/>
    <w:rsid w:val="2EC872A0"/>
    <w:rsid w:val="2ECB7AE0"/>
    <w:rsid w:val="2EEA1087"/>
    <w:rsid w:val="2EEF5B78"/>
    <w:rsid w:val="2EF90C24"/>
    <w:rsid w:val="2F0E5D72"/>
    <w:rsid w:val="2F1831D3"/>
    <w:rsid w:val="2F235269"/>
    <w:rsid w:val="2F322289"/>
    <w:rsid w:val="2F3770E3"/>
    <w:rsid w:val="2F380F68"/>
    <w:rsid w:val="2F413C94"/>
    <w:rsid w:val="2F494297"/>
    <w:rsid w:val="2F4B1C2D"/>
    <w:rsid w:val="2F691CE7"/>
    <w:rsid w:val="2F6F3FA5"/>
    <w:rsid w:val="2F787B26"/>
    <w:rsid w:val="2F7D0DE5"/>
    <w:rsid w:val="2F7E3AF9"/>
    <w:rsid w:val="2F7F3D54"/>
    <w:rsid w:val="2F8B2E0E"/>
    <w:rsid w:val="2F8E7D26"/>
    <w:rsid w:val="2F907976"/>
    <w:rsid w:val="2FA442D1"/>
    <w:rsid w:val="2FC15AF9"/>
    <w:rsid w:val="2FCF12B0"/>
    <w:rsid w:val="2FDC4E75"/>
    <w:rsid w:val="2FE23ECB"/>
    <w:rsid w:val="302C5AB3"/>
    <w:rsid w:val="302F30EA"/>
    <w:rsid w:val="304570D6"/>
    <w:rsid w:val="30523FBD"/>
    <w:rsid w:val="3056178E"/>
    <w:rsid w:val="30571C73"/>
    <w:rsid w:val="305F2DE8"/>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E4839"/>
    <w:rsid w:val="31BF532C"/>
    <w:rsid w:val="31E57565"/>
    <w:rsid w:val="31F72F19"/>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33DBA"/>
    <w:rsid w:val="33294831"/>
    <w:rsid w:val="332C5A43"/>
    <w:rsid w:val="33324BBF"/>
    <w:rsid w:val="334138EA"/>
    <w:rsid w:val="33491F36"/>
    <w:rsid w:val="33664E15"/>
    <w:rsid w:val="3373089A"/>
    <w:rsid w:val="33883009"/>
    <w:rsid w:val="33917AD8"/>
    <w:rsid w:val="339433F2"/>
    <w:rsid w:val="339C6CC6"/>
    <w:rsid w:val="339F751B"/>
    <w:rsid w:val="33B2596A"/>
    <w:rsid w:val="33BF1A08"/>
    <w:rsid w:val="33CC2F57"/>
    <w:rsid w:val="33FA7A53"/>
    <w:rsid w:val="33FE59C9"/>
    <w:rsid w:val="34110FF9"/>
    <w:rsid w:val="3421003E"/>
    <w:rsid w:val="342542D1"/>
    <w:rsid w:val="342B07D0"/>
    <w:rsid w:val="3431732F"/>
    <w:rsid w:val="34385515"/>
    <w:rsid w:val="344D717B"/>
    <w:rsid w:val="346C2BDC"/>
    <w:rsid w:val="346F0383"/>
    <w:rsid w:val="347A4842"/>
    <w:rsid w:val="347C1F8E"/>
    <w:rsid w:val="349E15E4"/>
    <w:rsid w:val="349E7311"/>
    <w:rsid w:val="34AC3B1F"/>
    <w:rsid w:val="34E63221"/>
    <w:rsid w:val="34EA3595"/>
    <w:rsid w:val="34F31159"/>
    <w:rsid w:val="34F61BA3"/>
    <w:rsid w:val="35015811"/>
    <w:rsid w:val="35063773"/>
    <w:rsid w:val="350C0171"/>
    <w:rsid w:val="35314625"/>
    <w:rsid w:val="35544143"/>
    <w:rsid w:val="35616A12"/>
    <w:rsid w:val="35684E72"/>
    <w:rsid w:val="357201A0"/>
    <w:rsid w:val="35830EE1"/>
    <w:rsid w:val="359B0914"/>
    <w:rsid w:val="35D34EB8"/>
    <w:rsid w:val="35E71299"/>
    <w:rsid w:val="35E72F09"/>
    <w:rsid w:val="35F26505"/>
    <w:rsid w:val="35FD0561"/>
    <w:rsid w:val="361A0DD1"/>
    <w:rsid w:val="363A75C1"/>
    <w:rsid w:val="364B62A1"/>
    <w:rsid w:val="368E7AA5"/>
    <w:rsid w:val="36950F43"/>
    <w:rsid w:val="36B17531"/>
    <w:rsid w:val="36B46A81"/>
    <w:rsid w:val="36BD0F73"/>
    <w:rsid w:val="36C223BE"/>
    <w:rsid w:val="36C257C0"/>
    <w:rsid w:val="36C62770"/>
    <w:rsid w:val="36CB0A48"/>
    <w:rsid w:val="36D44798"/>
    <w:rsid w:val="36ED1084"/>
    <w:rsid w:val="36EE6918"/>
    <w:rsid w:val="36F13745"/>
    <w:rsid w:val="36FF7CEB"/>
    <w:rsid w:val="370400D2"/>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22C87"/>
    <w:rsid w:val="37B67EF6"/>
    <w:rsid w:val="37BF2765"/>
    <w:rsid w:val="37C3034A"/>
    <w:rsid w:val="37C65106"/>
    <w:rsid w:val="37CC5E94"/>
    <w:rsid w:val="37D664EB"/>
    <w:rsid w:val="37DA4793"/>
    <w:rsid w:val="38012801"/>
    <w:rsid w:val="380A2593"/>
    <w:rsid w:val="380F4764"/>
    <w:rsid w:val="380F6191"/>
    <w:rsid w:val="38166E46"/>
    <w:rsid w:val="381A0093"/>
    <w:rsid w:val="383266B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74FFC"/>
    <w:rsid w:val="39485EE8"/>
    <w:rsid w:val="39932185"/>
    <w:rsid w:val="39A12E64"/>
    <w:rsid w:val="39AC270E"/>
    <w:rsid w:val="39B91800"/>
    <w:rsid w:val="39BC72AB"/>
    <w:rsid w:val="39BF0DA5"/>
    <w:rsid w:val="39E030FB"/>
    <w:rsid w:val="39E551C2"/>
    <w:rsid w:val="3A004EFB"/>
    <w:rsid w:val="3A1D668F"/>
    <w:rsid w:val="3A280D85"/>
    <w:rsid w:val="3A5C417E"/>
    <w:rsid w:val="3A651C7C"/>
    <w:rsid w:val="3A8C19A6"/>
    <w:rsid w:val="3A985F9F"/>
    <w:rsid w:val="3A9D79B4"/>
    <w:rsid w:val="3ABD7DB0"/>
    <w:rsid w:val="3ABE7AAF"/>
    <w:rsid w:val="3AC24EB4"/>
    <w:rsid w:val="3AC906BD"/>
    <w:rsid w:val="3AC909EA"/>
    <w:rsid w:val="3ACA79CB"/>
    <w:rsid w:val="3ACD696C"/>
    <w:rsid w:val="3AF15211"/>
    <w:rsid w:val="3AF80E99"/>
    <w:rsid w:val="3B0048B4"/>
    <w:rsid w:val="3B13533E"/>
    <w:rsid w:val="3B1D04C9"/>
    <w:rsid w:val="3B3F122D"/>
    <w:rsid w:val="3B564493"/>
    <w:rsid w:val="3B68666D"/>
    <w:rsid w:val="3B7457AD"/>
    <w:rsid w:val="3B7B144D"/>
    <w:rsid w:val="3B7F12F6"/>
    <w:rsid w:val="3B924465"/>
    <w:rsid w:val="3B9349CE"/>
    <w:rsid w:val="3B9C5361"/>
    <w:rsid w:val="3BA53541"/>
    <w:rsid w:val="3BA94452"/>
    <w:rsid w:val="3BCF10A4"/>
    <w:rsid w:val="3BFC0B7A"/>
    <w:rsid w:val="3C031B6A"/>
    <w:rsid w:val="3C1A13D5"/>
    <w:rsid w:val="3C1F3CDD"/>
    <w:rsid w:val="3C3318F7"/>
    <w:rsid w:val="3C5A7C30"/>
    <w:rsid w:val="3C7A34E1"/>
    <w:rsid w:val="3C857E1F"/>
    <w:rsid w:val="3C8B2EA4"/>
    <w:rsid w:val="3C98267C"/>
    <w:rsid w:val="3C9A76B6"/>
    <w:rsid w:val="3CA02F85"/>
    <w:rsid w:val="3CA30E32"/>
    <w:rsid w:val="3CAE115E"/>
    <w:rsid w:val="3CB6404C"/>
    <w:rsid w:val="3CC85F33"/>
    <w:rsid w:val="3CCB3008"/>
    <w:rsid w:val="3D005676"/>
    <w:rsid w:val="3D0970C8"/>
    <w:rsid w:val="3D0D6A92"/>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970AC1"/>
    <w:rsid w:val="3EB25E64"/>
    <w:rsid w:val="3EB57E73"/>
    <w:rsid w:val="3EBA3F51"/>
    <w:rsid w:val="3EC77C4D"/>
    <w:rsid w:val="3ECE6FC8"/>
    <w:rsid w:val="3ED90D52"/>
    <w:rsid w:val="3EDA32C4"/>
    <w:rsid w:val="3EE75AFB"/>
    <w:rsid w:val="3EE84598"/>
    <w:rsid w:val="3EFA1463"/>
    <w:rsid w:val="3EFB0DA2"/>
    <w:rsid w:val="3F015166"/>
    <w:rsid w:val="3F15663C"/>
    <w:rsid w:val="3F18630F"/>
    <w:rsid w:val="3F1F4A80"/>
    <w:rsid w:val="3F2D08FC"/>
    <w:rsid w:val="3F4371E9"/>
    <w:rsid w:val="3F5A272F"/>
    <w:rsid w:val="3F5B25E2"/>
    <w:rsid w:val="3F6444BF"/>
    <w:rsid w:val="3F8208BE"/>
    <w:rsid w:val="3F833743"/>
    <w:rsid w:val="3F8413AF"/>
    <w:rsid w:val="3F896205"/>
    <w:rsid w:val="3F8A6023"/>
    <w:rsid w:val="3F8D42EA"/>
    <w:rsid w:val="3F903DF4"/>
    <w:rsid w:val="3F94133E"/>
    <w:rsid w:val="3FA22487"/>
    <w:rsid w:val="3FB16EF0"/>
    <w:rsid w:val="3FBE5D52"/>
    <w:rsid w:val="3FC64FBA"/>
    <w:rsid w:val="3FD2552F"/>
    <w:rsid w:val="3FD360B6"/>
    <w:rsid w:val="3FEB354A"/>
    <w:rsid w:val="3FEC12D8"/>
    <w:rsid w:val="400021A9"/>
    <w:rsid w:val="40071F8E"/>
    <w:rsid w:val="40273EB3"/>
    <w:rsid w:val="402A0BEC"/>
    <w:rsid w:val="40385E0C"/>
    <w:rsid w:val="403917EB"/>
    <w:rsid w:val="404F7A6B"/>
    <w:rsid w:val="40592A16"/>
    <w:rsid w:val="406623B1"/>
    <w:rsid w:val="40674790"/>
    <w:rsid w:val="406B17E1"/>
    <w:rsid w:val="40705D5D"/>
    <w:rsid w:val="408B26C8"/>
    <w:rsid w:val="4093799E"/>
    <w:rsid w:val="40970524"/>
    <w:rsid w:val="40A30E28"/>
    <w:rsid w:val="40AB266E"/>
    <w:rsid w:val="40BB53F7"/>
    <w:rsid w:val="40C765F3"/>
    <w:rsid w:val="40CB1CD0"/>
    <w:rsid w:val="40D310E0"/>
    <w:rsid w:val="40E1213A"/>
    <w:rsid w:val="40E6301D"/>
    <w:rsid w:val="41071BAC"/>
    <w:rsid w:val="41104677"/>
    <w:rsid w:val="411E7076"/>
    <w:rsid w:val="41256FB7"/>
    <w:rsid w:val="41343624"/>
    <w:rsid w:val="4136428A"/>
    <w:rsid w:val="4154071D"/>
    <w:rsid w:val="415E6D8D"/>
    <w:rsid w:val="41680B02"/>
    <w:rsid w:val="41920E65"/>
    <w:rsid w:val="419C5A30"/>
    <w:rsid w:val="41AA6F9D"/>
    <w:rsid w:val="41CD1A27"/>
    <w:rsid w:val="41CF3183"/>
    <w:rsid w:val="41D85155"/>
    <w:rsid w:val="41DC1619"/>
    <w:rsid w:val="41E75166"/>
    <w:rsid w:val="41ED54BF"/>
    <w:rsid w:val="41F149C4"/>
    <w:rsid w:val="41FA7589"/>
    <w:rsid w:val="42153CB9"/>
    <w:rsid w:val="42173DAF"/>
    <w:rsid w:val="422C5034"/>
    <w:rsid w:val="422F559A"/>
    <w:rsid w:val="424878B4"/>
    <w:rsid w:val="42706590"/>
    <w:rsid w:val="427425EE"/>
    <w:rsid w:val="428F581C"/>
    <w:rsid w:val="4299467D"/>
    <w:rsid w:val="429D346C"/>
    <w:rsid w:val="429E77EF"/>
    <w:rsid w:val="42A0076D"/>
    <w:rsid w:val="42AC5A74"/>
    <w:rsid w:val="42AD71C2"/>
    <w:rsid w:val="42AE14DC"/>
    <w:rsid w:val="42B540EF"/>
    <w:rsid w:val="42BA57D6"/>
    <w:rsid w:val="42C843A0"/>
    <w:rsid w:val="42CC7BA3"/>
    <w:rsid w:val="42F20CDD"/>
    <w:rsid w:val="42F93C76"/>
    <w:rsid w:val="43090B64"/>
    <w:rsid w:val="4323326A"/>
    <w:rsid w:val="432E7531"/>
    <w:rsid w:val="434941B7"/>
    <w:rsid w:val="436551FA"/>
    <w:rsid w:val="43776349"/>
    <w:rsid w:val="43A46A86"/>
    <w:rsid w:val="43BA21AA"/>
    <w:rsid w:val="43BD281F"/>
    <w:rsid w:val="43CA6F51"/>
    <w:rsid w:val="43E1610D"/>
    <w:rsid w:val="43E80BE6"/>
    <w:rsid w:val="43EE5166"/>
    <w:rsid w:val="43F57DBA"/>
    <w:rsid w:val="44067BEC"/>
    <w:rsid w:val="440A2EF6"/>
    <w:rsid w:val="44215206"/>
    <w:rsid w:val="44235BD6"/>
    <w:rsid w:val="442C702D"/>
    <w:rsid w:val="4431006B"/>
    <w:rsid w:val="44326FB5"/>
    <w:rsid w:val="443E1A69"/>
    <w:rsid w:val="445D7409"/>
    <w:rsid w:val="44707017"/>
    <w:rsid w:val="4474621B"/>
    <w:rsid w:val="44765C62"/>
    <w:rsid w:val="44813B55"/>
    <w:rsid w:val="44995C31"/>
    <w:rsid w:val="44AC3C12"/>
    <w:rsid w:val="44B2766E"/>
    <w:rsid w:val="44C82F04"/>
    <w:rsid w:val="44E51801"/>
    <w:rsid w:val="44ED06E5"/>
    <w:rsid w:val="44F315BC"/>
    <w:rsid w:val="44F36316"/>
    <w:rsid w:val="44F75B54"/>
    <w:rsid w:val="4507551D"/>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AA59A9"/>
    <w:rsid w:val="45AA691E"/>
    <w:rsid w:val="45B01F58"/>
    <w:rsid w:val="45B20B88"/>
    <w:rsid w:val="45B5636D"/>
    <w:rsid w:val="45C12874"/>
    <w:rsid w:val="45D35459"/>
    <w:rsid w:val="45D46A79"/>
    <w:rsid w:val="45D777CC"/>
    <w:rsid w:val="45DB4490"/>
    <w:rsid w:val="45E86B72"/>
    <w:rsid w:val="45ED56E7"/>
    <w:rsid w:val="45F60A50"/>
    <w:rsid w:val="46031658"/>
    <w:rsid w:val="46036BC7"/>
    <w:rsid w:val="461C511A"/>
    <w:rsid w:val="462778C6"/>
    <w:rsid w:val="46462F04"/>
    <w:rsid w:val="46545EC0"/>
    <w:rsid w:val="46554BE7"/>
    <w:rsid w:val="465B1E86"/>
    <w:rsid w:val="465E648A"/>
    <w:rsid w:val="467847A0"/>
    <w:rsid w:val="4697740A"/>
    <w:rsid w:val="46C6208F"/>
    <w:rsid w:val="46DA12C7"/>
    <w:rsid w:val="46EA322C"/>
    <w:rsid w:val="46EF544C"/>
    <w:rsid w:val="46F714E0"/>
    <w:rsid w:val="46F91A62"/>
    <w:rsid w:val="471C6A14"/>
    <w:rsid w:val="47241DC7"/>
    <w:rsid w:val="473010D7"/>
    <w:rsid w:val="4732695E"/>
    <w:rsid w:val="47334610"/>
    <w:rsid w:val="4753781A"/>
    <w:rsid w:val="47927375"/>
    <w:rsid w:val="47971FDC"/>
    <w:rsid w:val="479D1728"/>
    <w:rsid w:val="47A928F1"/>
    <w:rsid w:val="47C806EC"/>
    <w:rsid w:val="47F0637D"/>
    <w:rsid w:val="47F40E9D"/>
    <w:rsid w:val="480F70BF"/>
    <w:rsid w:val="481C0CDA"/>
    <w:rsid w:val="48252F6B"/>
    <w:rsid w:val="482C6CD1"/>
    <w:rsid w:val="484728F8"/>
    <w:rsid w:val="4853345A"/>
    <w:rsid w:val="48622F87"/>
    <w:rsid w:val="48782922"/>
    <w:rsid w:val="48845C84"/>
    <w:rsid w:val="48914098"/>
    <w:rsid w:val="48973F32"/>
    <w:rsid w:val="489C44D3"/>
    <w:rsid w:val="489F483A"/>
    <w:rsid w:val="48CE17E0"/>
    <w:rsid w:val="48F82FC3"/>
    <w:rsid w:val="49095F7E"/>
    <w:rsid w:val="490D059B"/>
    <w:rsid w:val="490D3059"/>
    <w:rsid w:val="49140DEE"/>
    <w:rsid w:val="491827D0"/>
    <w:rsid w:val="491C2233"/>
    <w:rsid w:val="492F6EA2"/>
    <w:rsid w:val="494A394A"/>
    <w:rsid w:val="494C1910"/>
    <w:rsid w:val="49500FEB"/>
    <w:rsid w:val="49751781"/>
    <w:rsid w:val="4976679A"/>
    <w:rsid w:val="4982678C"/>
    <w:rsid w:val="49982D33"/>
    <w:rsid w:val="49C4340C"/>
    <w:rsid w:val="49C4368E"/>
    <w:rsid w:val="49C46503"/>
    <w:rsid w:val="49DD7EFB"/>
    <w:rsid w:val="49E077A2"/>
    <w:rsid w:val="49ED2196"/>
    <w:rsid w:val="49F32E1B"/>
    <w:rsid w:val="49F36AE3"/>
    <w:rsid w:val="49FF1C1E"/>
    <w:rsid w:val="4A0B7057"/>
    <w:rsid w:val="4A280667"/>
    <w:rsid w:val="4A325FE0"/>
    <w:rsid w:val="4A3845D4"/>
    <w:rsid w:val="4A495F41"/>
    <w:rsid w:val="4A511B6E"/>
    <w:rsid w:val="4A634417"/>
    <w:rsid w:val="4A7C4548"/>
    <w:rsid w:val="4A863BCC"/>
    <w:rsid w:val="4A8E1463"/>
    <w:rsid w:val="4A9D2073"/>
    <w:rsid w:val="4AC15779"/>
    <w:rsid w:val="4AD202C9"/>
    <w:rsid w:val="4ADA6E7E"/>
    <w:rsid w:val="4ADE2C90"/>
    <w:rsid w:val="4AEE473A"/>
    <w:rsid w:val="4AF03277"/>
    <w:rsid w:val="4B2A6621"/>
    <w:rsid w:val="4B3D6072"/>
    <w:rsid w:val="4B5B5B93"/>
    <w:rsid w:val="4B7F2D98"/>
    <w:rsid w:val="4B850E6F"/>
    <w:rsid w:val="4B901389"/>
    <w:rsid w:val="4B986207"/>
    <w:rsid w:val="4B987896"/>
    <w:rsid w:val="4B9969CA"/>
    <w:rsid w:val="4BA04F33"/>
    <w:rsid w:val="4BC05ECF"/>
    <w:rsid w:val="4BD05051"/>
    <w:rsid w:val="4BF66867"/>
    <w:rsid w:val="4BFE2AE1"/>
    <w:rsid w:val="4C054590"/>
    <w:rsid w:val="4C0C6994"/>
    <w:rsid w:val="4C15222D"/>
    <w:rsid w:val="4C292792"/>
    <w:rsid w:val="4C2C30BE"/>
    <w:rsid w:val="4C2C46A1"/>
    <w:rsid w:val="4C3A2A9D"/>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2204B2"/>
    <w:rsid w:val="4D513299"/>
    <w:rsid w:val="4D8D2AE5"/>
    <w:rsid w:val="4D9D5F78"/>
    <w:rsid w:val="4D9E74D1"/>
    <w:rsid w:val="4DA22392"/>
    <w:rsid w:val="4DBC2EE2"/>
    <w:rsid w:val="4DBE5704"/>
    <w:rsid w:val="4DE904E0"/>
    <w:rsid w:val="4DF96CBC"/>
    <w:rsid w:val="4E171ADD"/>
    <w:rsid w:val="4E3A3C9A"/>
    <w:rsid w:val="4E4C233E"/>
    <w:rsid w:val="4E6467C3"/>
    <w:rsid w:val="4E845F98"/>
    <w:rsid w:val="4E9A7FF9"/>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571D"/>
    <w:rsid w:val="4F186AC1"/>
    <w:rsid w:val="4F1E08DD"/>
    <w:rsid w:val="4F1E2479"/>
    <w:rsid w:val="4F43529A"/>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F4F4B"/>
    <w:rsid w:val="4FF572BC"/>
    <w:rsid w:val="50000ED0"/>
    <w:rsid w:val="50150A2D"/>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704B1"/>
    <w:rsid w:val="508A0B34"/>
    <w:rsid w:val="509A0302"/>
    <w:rsid w:val="509B767D"/>
    <w:rsid w:val="50A306D9"/>
    <w:rsid w:val="50BE437A"/>
    <w:rsid w:val="50E042AF"/>
    <w:rsid w:val="50E77A58"/>
    <w:rsid w:val="511836CB"/>
    <w:rsid w:val="51394C04"/>
    <w:rsid w:val="513C5648"/>
    <w:rsid w:val="515143AB"/>
    <w:rsid w:val="515A17DC"/>
    <w:rsid w:val="51685DFA"/>
    <w:rsid w:val="516A0BE8"/>
    <w:rsid w:val="51705953"/>
    <w:rsid w:val="51725D98"/>
    <w:rsid w:val="51736098"/>
    <w:rsid w:val="51B14BED"/>
    <w:rsid w:val="51C71898"/>
    <w:rsid w:val="51EE252C"/>
    <w:rsid w:val="51FA3D86"/>
    <w:rsid w:val="51FF0971"/>
    <w:rsid w:val="52022698"/>
    <w:rsid w:val="52035590"/>
    <w:rsid w:val="52064582"/>
    <w:rsid w:val="52122401"/>
    <w:rsid w:val="521734BE"/>
    <w:rsid w:val="52365D1B"/>
    <w:rsid w:val="523913EB"/>
    <w:rsid w:val="523A67B8"/>
    <w:rsid w:val="524A3780"/>
    <w:rsid w:val="525D5B20"/>
    <w:rsid w:val="52600B88"/>
    <w:rsid w:val="526965AA"/>
    <w:rsid w:val="52963B66"/>
    <w:rsid w:val="52A07902"/>
    <w:rsid w:val="52D71166"/>
    <w:rsid w:val="52E60C81"/>
    <w:rsid w:val="52FF3969"/>
    <w:rsid w:val="531E2281"/>
    <w:rsid w:val="53793823"/>
    <w:rsid w:val="537B7A51"/>
    <w:rsid w:val="53851D77"/>
    <w:rsid w:val="53906F76"/>
    <w:rsid w:val="539874D1"/>
    <w:rsid w:val="53A900B3"/>
    <w:rsid w:val="53BE4BF9"/>
    <w:rsid w:val="53D37BF3"/>
    <w:rsid w:val="53D43A38"/>
    <w:rsid w:val="53D65728"/>
    <w:rsid w:val="53DB0569"/>
    <w:rsid w:val="53FE42EB"/>
    <w:rsid w:val="53FF3ABE"/>
    <w:rsid w:val="54175BE1"/>
    <w:rsid w:val="54192F65"/>
    <w:rsid w:val="54397394"/>
    <w:rsid w:val="5445166E"/>
    <w:rsid w:val="54632332"/>
    <w:rsid w:val="546A5504"/>
    <w:rsid w:val="546F0D2A"/>
    <w:rsid w:val="547236DF"/>
    <w:rsid w:val="547B4986"/>
    <w:rsid w:val="54944CE7"/>
    <w:rsid w:val="549555A5"/>
    <w:rsid w:val="54D62DF7"/>
    <w:rsid w:val="54E95C39"/>
    <w:rsid w:val="54F54ADE"/>
    <w:rsid w:val="54FC00A7"/>
    <w:rsid w:val="552A54CB"/>
    <w:rsid w:val="553426D6"/>
    <w:rsid w:val="55436523"/>
    <w:rsid w:val="554575FA"/>
    <w:rsid w:val="55496DF8"/>
    <w:rsid w:val="554E1565"/>
    <w:rsid w:val="555125B1"/>
    <w:rsid w:val="55545557"/>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6DC0"/>
    <w:rsid w:val="56C44CD3"/>
    <w:rsid w:val="56D75436"/>
    <w:rsid w:val="56DB045D"/>
    <w:rsid w:val="56DF5F95"/>
    <w:rsid w:val="56E17FE8"/>
    <w:rsid w:val="56E83A21"/>
    <w:rsid w:val="57213FE5"/>
    <w:rsid w:val="575F25E8"/>
    <w:rsid w:val="578177D3"/>
    <w:rsid w:val="57AA7E41"/>
    <w:rsid w:val="57AC0C0D"/>
    <w:rsid w:val="57BC04B5"/>
    <w:rsid w:val="57C166D8"/>
    <w:rsid w:val="57D82681"/>
    <w:rsid w:val="57DE7DC1"/>
    <w:rsid w:val="57E3333D"/>
    <w:rsid w:val="57E76382"/>
    <w:rsid w:val="57EE0C93"/>
    <w:rsid w:val="57EF0F97"/>
    <w:rsid w:val="57F17A1A"/>
    <w:rsid w:val="57F27B38"/>
    <w:rsid w:val="58175C49"/>
    <w:rsid w:val="581B09AF"/>
    <w:rsid w:val="582736FC"/>
    <w:rsid w:val="582E227B"/>
    <w:rsid w:val="583C79A9"/>
    <w:rsid w:val="583D0933"/>
    <w:rsid w:val="584677BD"/>
    <w:rsid w:val="585D5B14"/>
    <w:rsid w:val="5872028B"/>
    <w:rsid w:val="588459A1"/>
    <w:rsid w:val="588F2A57"/>
    <w:rsid w:val="58983966"/>
    <w:rsid w:val="589E3B99"/>
    <w:rsid w:val="589F3533"/>
    <w:rsid w:val="58A0138C"/>
    <w:rsid w:val="58AC162C"/>
    <w:rsid w:val="58CA78F9"/>
    <w:rsid w:val="58D46D1B"/>
    <w:rsid w:val="58EB54CA"/>
    <w:rsid w:val="58F5414C"/>
    <w:rsid w:val="58FF6291"/>
    <w:rsid w:val="590B15D2"/>
    <w:rsid w:val="590B39B6"/>
    <w:rsid w:val="59143609"/>
    <w:rsid w:val="592C48F9"/>
    <w:rsid w:val="593261D2"/>
    <w:rsid w:val="59423730"/>
    <w:rsid w:val="59506815"/>
    <w:rsid w:val="59517F98"/>
    <w:rsid w:val="59586CE1"/>
    <w:rsid w:val="595A6E9E"/>
    <w:rsid w:val="597E00DF"/>
    <w:rsid w:val="5980128D"/>
    <w:rsid w:val="59BC1DD2"/>
    <w:rsid w:val="59C61854"/>
    <w:rsid w:val="59E81791"/>
    <w:rsid w:val="59FB6BE2"/>
    <w:rsid w:val="5A06033D"/>
    <w:rsid w:val="5A0E79AC"/>
    <w:rsid w:val="5A0F0265"/>
    <w:rsid w:val="5A123B05"/>
    <w:rsid w:val="5A142254"/>
    <w:rsid w:val="5A496BD5"/>
    <w:rsid w:val="5A4B2EA3"/>
    <w:rsid w:val="5A6934B1"/>
    <w:rsid w:val="5A803734"/>
    <w:rsid w:val="5A8D4FC0"/>
    <w:rsid w:val="5A8F1C82"/>
    <w:rsid w:val="5AA04D8D"/>
    <w:rsid w:val="5AA333BB"/>
    <w:rsid w:val="5AB53D99"/>
    <w:rsid w:val="5AB61C65"/>
    <w:rsid w:val="5ABD694F"/>
    <w:rsid w:val="5AC4773A"/>
    <w:rsid w:val="5ACF620B"/>
    <w:rsid w:val="5AD85D6C"/>
    <w:rsid w:val="5AEF6EF7"/>
    <w:rsid w:val="5AFF5DE6"/>
    <w:rsid w:val="5B111BFC"/>
    <w:rsid w:val="5B1D47A6"/>
    <w:rsid w:val="5B1E6976"/>
    <w:rsid w:val="5B306550"/>
    <w:rsid w:val="5B4026E8"/>
    <w:rsid w:val="5B4516CD"/>
    <w:rsid w:val="5B482E24"/>
    <w:rsid w:val="5B5A4228"/>
    <w:rsid w:val="5B686AC1"/>
    <w:rsid w:val="5B853A54"/>
    <w:rsid w:val="5B8B1199"/>
    <w:rsid w:val="5B9D08DB"/>
    <w:rsid w:val="5BAD5A86"/>
    <w:rsid w:val="5BCD41C3"/>
    <w:rsid w:val="5BD429A6"/>
    <w:rsid w:val="5C0025C0"/>
    <w:rsid w:val="5C180007"/>
    <w:rsid w:val="5C64023D"/>
    <w:rsid w:val="5C6D1CB7"/>
    <w:rsid w:val="5C731C61"/>
    <w:rsid w:val="5C8005B3"/>
    <w:rsid w:val="5C9050DF"/>
    <w:rsid w:val="5C9A4DB7"/>
    <w:rsid w:val="5CA00536"/>
    <w:rsid w:val="5CC016AB"/>
    <w:rsid w:val="5CC453C1"/>
    <w:rsid w:val="5CE07B6A"/>
    <w:rsid w:val="5D0728CF"/>
    <w:rsid w:val="5D1A01CE"/>
    <w:rsid w:val="5D1A39EE"/>
    <w:rsid w:val="5D280F3C"/>
    <w:rsid w:val="5D411FCB"/>
    <w:rsid w:val="5D494B70"/>
    <w:rsid w:val="5D5C7688"/>
    <w:rsid w:val="5D615C0F"/>
    <w:rsid w:val="5D762C66"/>
    <w:rsid w:val="5D844DB8"/>
    <w:rsid w:val="5D865E73"/>
    <w:rsid w:val="5D9F7EE8"/>
    <w:rsid w:val="5DA93319"/>
    <w:rsid w:val="5DB156E1"/>
    <w:rsid w:val="5DEF6B62"/>
    <w:rsid w:val="5DF47982"/>
    <w:rsid w:val="5E002949"/>
    <w:rsid w:val="5E0C5358"/>
    <w:rsid w:val="5E224225"/>
    <w:rsid w:val="5E2732CD"/>
    <w:rsid w:val="5E284D50"/>
    <w:rsid w:val="5E294B38"/>
    <w:rsid w:val="5E336F39"/>
    <w:rsid w:val="5E3723C6"/>
    <w:rsid w:val="5E723BE9"/>
    <w:rsid w:val="5E7464E9"/>
    <w:rsid w:val="5E7E4092"/>
    <w:rsid w:val="5E8E6492"/>
    <w:rsid w:val="5EB976C2"/>
    <w:rsid w:val="5EC00B79"/>
    <w:rsid w:val="5ED871EF"/>
    <w:rsid w:val="5EF5653C"/>
    <w:rsid w:val="5EFF2762"/>
    <w:rsid w:val="5F045F3A"/>
    <w:rsid w:val="5F0D642C"/>
    <w:rsid w:val="5F17008D"/>
    <w:rsid w:val="5F1C3DD8"/>
    <w:rsid w:val="5F3C716D"/>
    <w:rsid w:val="5F4F4D0F"/>
    <w:rsid w:val="5F5B59FB"/>
    <w:rsid w:val="5F5F081B"/>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110B23"/>
    <w:rsid w:val="61247218"/>
    <w:rsid w:val="613D07C4"/>
    <w:rsid w:val="615C0F34"/>
    <w:rsid w:val="615C14A6"/>
    <w:rsid w:val="615F6AC2"/>
    <w:rsid w:val="61672ABF"/>
    <w:rsid w:val="617A5318"/>
    <w:rsid w:val="618B3212"/>
    <w:rsid w:val="61A058F7"/>
    <w:rsid w:val="61A93693"/>
    <w:rsid w:val="61B66917"/>
    <w:rsid w:val="61BC3B1A"/>
    <w:rsid w:val="61CD4121"/>
    <w:rsid w:val="61E107FF"/>
    <w:rsid w:val="61F2159D"/>
    <w:rsid w:val="61F4098A"/>
    <w:rsid w:val="62082A4E"/>
    <w:rsid w:val="6232252A"/>
    <w:rsid w:val="6239245F"/>
    <w:rsid w:val="623C28E2"/>
    <w:rsid w:val="623F05F8"/>
    <w:rsid w:val="626D6E03"/>
    <w:rsid w:val="62855646"/>
    <w:rsid w:val="628E58B3"/>
    <w:rsid w:val="62BD3674"/>
    <w:rsid w:val="62CA193B"/>
    <w:rsid w:val="62D30A87"/>
    <w:rsid w:val="62D53BF4"/>
    <w:rsid w:val="62EE3F20"/>
    <w:rsid w:val="62FD0BCE"/>
    <w:rsid w:val="630A4626"/>
    <w:rsid w:val="6311058D"/>
    <w:rsid w:val="631E0963"/>
    <w:rsid w:val="631E6275"/>
    <w:rsid w:val="632A4326"/>
    <w:rsid w:val="632C7922"/>
    <w:rsid w:val="633A34E2"/>
    <w:rsid w:val="63483DC6"/>
    <w:rsid w:val="634C2265"/>
    <w:rsid w:val="634F638C"/>
    <w:rsid w:val="635F2ADA"/>
    <w:rsid w:val="63610183"/>
    <w:rsid w:val="6367085D"/>
    <w:rsid w:val="636A45E1"/>
    <w:rsid w:val="637543E9"/>
    <w:rsid w:val="637947A5"/>
    <w:rsid w:val="638E6D4D"/>
    <w:rsid w:val="63BD4B8F"/>
    <w:rsid w:val="63C82D94"/>
    <w:rsid w:val="63D0005D"/>
    <w:rsid w:val="63D15554"/>
    <w:rsid w:val="63D81C8F"/>
    <w:rsid w:val="63DE5D65"/>
    <w:rsid w:val="63DF6605"/>
    <w:rsid w:val="63E23D45"/>
    <w:rsid w:val="63F95413"/>
    <w:rsid w:val="64061D04"/>
    <w:rsid w:val="64337DBE"/>
    <w:rsid w:val="643F6D4B"/>
    <w:rsid w:val="64456269"/>
    <w:rsid w:val="64467B93"/>
    <w:rsid w:val="64511EDE"/>
    <w:rsid w:val="64617138"/>
    <w:rsid w:val="64630D1E"/>
    <w:rsid w:val="6478176D"/>
    <w:rsid w:val="64835CDD"/>
    <w:rsid w:val="6486251A"/>
    <w:rsid w:val="64AB2A66"/>
    <w:rsid w:val="64B7605C"/>
    <w:rsid w:val="64BA526C"/>
    <w:rsid w:val="64BD6580"/>
    <w:rsid w:val="64DA5521"/>
    <w:rsid w:val="64E205AE"/>
    <w:rsid w:val="64E93EF1"/>
    <w:rsid w:val="64F17473"/>
    <w:rsid w:val="650D3C56"/>
    <w:rsid w:val="652564C3"/>
    <w:rsid w:val="652B096E"/>
    <w:rsid w:val="65326763"/>
    <w:rsid w:val="65357589"/>
    <w:rsid w:val="65530E49"/>
    <w:rsid w:val="65551112"/>
    <w:rsid w:val="65834C72"/>
    <w:rsid w:val="658B678B"/>
    <w:rsid w:val="65A71F82"/>
    <w:rsid w:val="65C649BC"/>
    <w:rsid w:val="65E55EB8"/>
    <w:rsid w:val="65E73B66"/>
    <w:rsid w:val="66022F90"/>
    <w:rsid w:val="66131984"/>
    <w:rsid w:val="66187135"/>
    <w:rsid w:val="662831A9"/>
    <w:rsid w:val="662C4F94"/>
    <w:rsid w:val="66313D38"/>
    <w:rsid w:val="664A22D3"/>
    <w:rsid w:val="66564873"/>
    <w:rsid w:val="66787D6F"/>
    <w:rsid w:val="66A364FB"/>
    <w:rsid w:val="66B02E9B"/>
    <w:rsid w:val="66C17236"/>
    <w:rsid w:val="66C2270A"/>
    <w:rsid w:val="66D7305F"/>
    <w:rsid w:val="66E03EF6"/>
    <w:rsid w:val="66E16576"/>
    <w:rsid w:val="66E33C2D"/>
    <w:rsid w:val="66E62095"/>
    <w:rsid w:val="66FE6FC6"/>
    <w:rsid w:val="66FF12A8"/>
    <w:rsid w:val="66FF1E88"/>
    <w:rsid w:val="66FF6B44"/>
    <w:rsid w:val="67090219"/>
    <w:rsid w:val="670E61EE"/>
    <w:rsid w:val="671A4A9C"/>
    <w:rsid w:val="671B4A83"/>
    <w:rsid w:val="67365593"/>
    <w:rsid w:val="67427945"/>
    <w:rsid w:val="676811E7"/>
    <w:rsid w:val="678164D2"/>
    <w:rsid w:val="67880ECE"/>
    <w:rsid w:val="67903975"/>
    <w:rsid w:val="679F6750"/>
    <w:rsid w:val="67AF4AEE"/>
    <w:rsid w:val="67BC006F"/>
    <w:rsid w:val="67BE34F4"/>
    <w:rsid w:val="67CF00A6"/>
    <w:rsid w:val="67D079BF"/>
    <w:rsid w:val="67D7321C"/>
    <w:rsid w:val="67DA02E7"/>
    <w:rsid w:val="67E04310"/>
    <w:rsid w:val="67E25FA2"/>
    <w:rsid w:val="67F21DDC"/>
    <w:rsid w:val="67F96D07"/>
    <w:rsid w:val="680872C5"/>
    <w:rsid w:val="68121D83"/>
    <w:rsid w:val="68233C28"/>
    <w:rsid w:val="682B16F7"/>
    <w:rsid w:val="682D47C1"/>
    <w:rsid w:val="683744CE"/>
    <w:rsid w:val="68612CB6"/>
    <w:rsid w:val="6865556C"/>
    <w:rsid w:val="68667455"/>
    <w:rsid w:val="689A29FC"/>
    <w:rsid w:val="68CE29AC"/>
    <w:rsid w:val="68E34076"/>
    <w:rsid w:val="68E65681"/>
    <w:rsid w:val="68F145B5"/>
    <w:rsid w:val="68FA5214"/>
    <w:rsid w:val="6906197A"/>
    <w:rsid w:val="690C637F"/>
    <w:rsid w:val="692A17F3"/>
    <w:rsid w:val="692A799A"/>
    <w:rsid w:val="69360DF4"/>
    <w:rsid w:val="693B629B"/>
    <w:rsid w:val="69477B83"/>
    <w:rsid w:val="699B1540"/>
    <w:rsid w:val="699D4818"/>
    <w:rsid w:val="69C27972"/>
    <w:rsid w:val="6A0B7E27"/>
    <w:rsid w:val="6A15604C"/>
    <w:rsid w:val="6A2E4954"/>
    <w:rsid w:val="6A5859DD"/>
    <w:rsid w:val="6A690645"/>
    <w:rsid w:val="6A6A771D"/>
    <w:rsid w:val="6A6E396D"/>
    <w:rsid w:val="6AA507AA"/>
    <w:rsid w:val="6AC9421D"/>
    <w:rsid w:val="6AD53613"/>
    <w:rsid w:val="6AD94F47"/>
    <w:rsid w:val="6AE641A3"/>
    <w:rsid w:val="6AE91DBD"/>
    <w:rsid w:val="6AEF29C9"/>
    <w:rsid w:val="6B281153"/>
    <w:rsid w:val="6B4C3B26"/>
    <w:rsid w:val="6B6162D1"/>
    <w:rsid w:val="6B7747FD"/>
    <w:rsid w:val="6B8D6111"/>
    <w:rsid w:val="6BA924EB"/>
    <w:rsid w:val="6BB3693A"/>
    <w:rsid w:val="6BB3754C"/>
    <w:rsid w:val="6BC86908"/>
    <w:rsid w:val="6BCE245B"/>
    <w:rsid w:val="6BDB0A87"/>
    <w:rsid w:val="6BEB5350"/>
    <w:rsid w:val="6BEC7C68"/>
    <w:rsid w:val="6C39658E"/>
    <w:rsid w:val="6C4C2667"/>
    <w:rsid w:val="6CA51813"/>
    <w:rsid w:val="6CB17A00"/>
    <w:rsid w:val="6CCA6D7E"/>
    <w:rsid w:val="6CD40BE1"/>
    <w:rsid w:val="6CD46A9B"/>
    <w:rsid w:val="6CD63F10"/>
    <w:rsid w:val="6CDA49A3"/>
    <w:rsid w:val="6CEC01FF"/>
    <w:rsid w:val="6CED7FA5"/>
    <w:rsid w:val="6CF00038"/>
    <w:rsid w:val="6CF36133"/>
    <w:rsid w:val="6D003617"/>
    <w:rsid w:val="6D1C6E8F"/>
    <w:rsid w:val="6D27071C"/>
    <w:rsid w:val="6D2C0194"/>
    <w:rsid w:val="6D305B8F"/>
    <w:rsid w:val="6D314932"/>
    <w:rsid w:val="6D38774B"/>
    <w:rsid w:val="6D3E46D7"/>
    <w:rsid w:val="6D406D15"/>
    <w:rsid w:val="6D5261F9"/>
    <w:rsid w:val="6D565493"/>
    <w:rsid w:val="6D697EC5"/>
    <w:rsid w:val="6D6C5B21"/>
    <w:rsid w:val="6D704B0C"/>
    <w:rsid w:val="6D740FCF"/>
    <w:rsid w:val="6D776EFB"/>
    <w:rsid w:val="6D797F60"/>
    <w:rsid w:val="6D8E4430"/>
    <w:rsid w:val="6D9325CD"/>
    <w:rsid w:val="6D960AA9"/>
    <w:rsid w:val="6DA25D26"/>
    <w:rsid w:val="6DAC34A1"/>
    <w:rsid w:val="6DD1076A"/>
    <w:rsid w:val="6DDE3DAF"/>
    <w:rsid w:val="6DE96D8A"/>
    <w:rsid w:val="6DF24EC9"/>
    <w:rsid w:val="6DF30B8E"/>
    <w:rsid w:val="6E0C6C88"/>
    <w:rsid w:val="6E1735DC"/>
    <w:rsid w:val="6E1F4ECD"/>
    <w:rsid w:val="6E2211D6"/>
    <w:rsid w:val="6E2E6D4D"/>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981439"/>
    <w:rsid w:val="6FB23A01"/>
    <w:rsid w:val="6FBA4BA1"/>
    <w:rsid w:val="6FBC778D"/>
    <w:rsid w:val="6FDC4815"/>
    <w:rsid w:val="6FEA3E2C"/>
    <w:rsid w:val="6FEB04D5"/>
    <w:rsid w:val="6FEF02C9"/>
    <w:rsid w:val="701241A0"/>
    <w:rsid w:val="702603AF"/>
    <w:rsid w:val="70531F9D"/>
    <w:rsid w:val="705E3F40"/>
    <w:rsid w:val="70726E65"/>
    <w:rsid w:val="70DB4B36"/>
    <w:rsid w:val="70E040A3"/>
    <w:rsid w:val="70E13200"/>
    <w:rsid w:val="70E91C33"/>
    <w:rsid w:val="70EE31F8"/>
    <w:rsid w:val="70FF3D31"/>
    <w:rsid w:val="710B7588"/>
    <w:rsid w:val="71124891"/>
    <w:rsid w:val="7139612D"/>
    <w:rsid w:val="714420CD"/>
    <w:rsid w:val="71466AC5"/>
    <w:rsid w:val="71546923"/>
    <w:rsid w:val="71592567"/>
    <w:rsid w:val="715F4C2D"/>
    <w:rsid w:val="716E56FB"/>
    <w:rsid w:val="71742846"/>
    <w:rsid w:val="71841719"/>
    <w:rsid w:val="71B15C2B"/>
    <w:rsid w:val="71E27EA1"/>
    <w:rsid w:val="72024D75"/>
    <w:rsid w:val="722B4090"/>
    <w:rsid w:val="723F5976"/>
    <w:rsid w:val="724530CF"/>
    <w:rsid w:val="724A2756"/>
    <w:rsid w:val="72607C33"/>
    <w:rsid w:val="726D03AB"/>
    <w:rsid w:val="7275552C"/>
    <w:rsid w:val="72766BB2"/>
    <w:rsid w:val="72816D82"/>
    <w:rsid w:val="72944739"/>
    <w:rsid w:val="72A97A08"/>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A7955"/>
    <w:rsid w:val="73A36DC3"/>
    <w:rsid w:val="73B33483"/>
    <w:rsid w:val="73DE4D67"/>
    <w:rsid w:val="73F07D09"/>
    <w:rsid w:val="73FC6BEB"/>
    <w:rsid w:val="74016246"/>
    <w:rsid w:val="741255AF"/>
    <w:rsid w:val="745A4881"/>
    <w:rsid w:val="745C121D"/>
    <w:rsid w:val="746D0FDE"/>
    <w:rsid w:val="746F3109"/>
    <w:rsid w:val="74846437"/>
    <w:rsid w:val="74881C43"/>
    <w:rsid w:val="749A55E5"/>
    <w:rsid w:val="74B3391B"/>
    <w:rsid w:val="74CF4EC9"/>
    <w:rsid w:val="74DB0C49"/>
    <w:rsid w:val="74E40DB3"/>
    <w:rsid w:val="74F1132B"/>
    <w:rsid w:val="7514569D"/>
    <w:rsid w:val="7515015F"/>
    <w:rsid w:val="751B5F96"/>
    <w:rsid w:val="75310AD0"/>
    <w:rsid w:val="754A21BA"/>
    <w:rsid w:val="755A08D5"/>
    <w:rsid w:val="755C4C37"/>
    <w:rsid w:val="75622CB1"/>
    <w:rsid w:val="75772547"/>
    <w:rsid w:val="758A5266"/>
    <w:rsid w:val="758B2F20"/>
    <w:rsid w:val="75997C5C"/>
    <w:rsid w:val="75B33C4A"/>
    <w:rsid w:val="75B84A01"/>
    <w:rsid w:val="75C863E2"/>
    <w:rsid w:val="75DA5365"/>
    <w:rsid w:val="75DE03EB"/>
    <w:rsid w:val="75EA7032"/>
    <w:rsid w:val="75EC44C9"/>
    <w:rsid w:val="75F71CA5"/>
    <w:rsid w:val="75F9333E"/>
    <w:rsid w:val="760C1517"/>
    <w:rsid w:val="7611078B"/>
    <w:rsid w:val="76133F55"/>
    <w:rsid w:val="761A2E8D"/>
    <w:rsid w:val="761B51E4"/>
    <w:rsid w:val="7628164D"/>
    <w:rsid w:val="76375AC5"/>
    <w:rsid w:val="76475DB4"/>
    <w:rsid w:val="765062E5"/>
    <w:rsid w:val="76725203"/>
    <w:rsid w:val="767263E3"/>
    <w:rsid w:val="767955BC"/>
    <w:rsid w:val="7689098F"/>
    <w:rsid w:val="768D7CD7"/>
    <w:rsid w:val="76A17FB6"/>
    <w:rsid w:val="76C2056E"/>
    <w:rsid w:val="76CE079E"/>
    <w:rsid w:val="770254F3"/>
    <w:rsid w:val="770D2AFC"/>
    <w:rsid w:val="771B710A"/>
    <w:rsid w:val="77245AA8"/>
    <w:rsid w:val="772870FB"/>
    <w:rsid w:val="773D2757"/>
    <w:rsid w:val="77430B38"/>
    <w:rsid w:val="774B7FB7"/>
    <w:rsid w:val="774D1291"/>
    <w:rsid w:val="77504D2A"/>
    <w:rsid w:val="775E0582"/>
    <w:rsid w:val="775F4656"/>
    <w:rsid w:val="776C25E5"/>
    <w:rsid w:val="776C3E9D"/>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5E7134"/>
    <w:rsid w:val="78661ED8"/>
    <w:rsid w:val="78861A8D"/>
    <w:rsid w:val="788F779E"/>
    <w:rsid w:val="78973BA6"/>
    <w:rsid w:val="78A376CA"/>
    <w:rsid w:val="78E40682"/>
    <w:rsid w:val="78EB356F"/>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B43C51"/>
    <w:rsid w:val="79B6170C"/>
    <w:rsid w:val="79BB3341"/>
    <w:rsid w:val="79C22F64"/>
    <w:rsid w:val="79D03D26"/>
    <w:rsid w:val="79E366D9"/>
    <w:rsid w:val="7A234EEE"/>
    <w:rsid w:val="7A3466E6"/>
    <w:rsid w:val="7A410FED"/>
    <w:rsid w:val="7A4205D3"/>
    <w:rsid w:val="7A4F3DD9"/>
    <w:rsid w:val="7A577D70"/>
    <w:rsid w:val="7A5C3640"/>
    <w:rsid w:val="7A73566B"/>
    <w:rsid w:val="7A7D4F17"/>
    <w:rsid w:val="7A801366"/>
    <w:rsid w:val="7A960FFF"/>
    <w:rsid w:val="7A977FDA"/>
    <w:rsid w:val="7A9C218A"/>
    <w:rsid w:val="7A9C3F7D"/>
    <w:rsid w:val="7AB05BBC"/>
    <w:rsid w:val="7AB27F2F"/>
    <w:rsid w:val="7AB44E97"/>
    <w:rsid w:val="7AB740EE"/>
    <w:rsid w:val="7AB94AC3"/>
    <w:rsid w:val="7ABB47EB"/>
    <w:rsid w:val="7AD33C0D"/>
    <w:rsid w:val="7ADA79E1"/>
    <w:rsid w:val="7AE36910"/>
    <w:rsid w:val="7AEF7A90"/>
    <w:rsid w:val="7AF53C0B"/>
    <w:rsid w:val="7B07064A"/>
    <w:rsid w:val="7B0E6D55"/>
    <w:rsid w:val="7B144D45"/>
    <w:rsid w:val="7B265930"/>
    <w:rsid w:val="7B3E60A8"/>
    <w:rsid w:val="7B60366D"/>
    <w:rsid w:val="7B681C95"/>
    <w:rsid w:val="7B74384D"/>
    <w:rsid w:val="7B826E52"/>
    <w:rsid w:val="7B940404"/>
    <w:rsid w:val="7BB6238F"/>
    <w:rsid w:val="7BB72F86"/>
    <w:rsid w:val="7BCA1026"/>
    <w:rsid w:val="7BD173B3"/>
    <w:rsid w:val="7BDD38EC"/>
    <w:rsid w:val="7BF8597E"/>
    <w:rsid w:val="7C12395E"/>
    <w:rsid w:val="7C14711B"/>
    <w:rsid w:val="7C1932F5"/>
    <w:rsid w:val="7C312516"/>
    <w:rsid w:val="7C45431D"/>
    <w:rsid w:val="7C4A144B"/>
    <w:rsid w:val="7C51263D"/>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451D1"/>
    <w:rsid w:val="7CFF7E47"/>
    <w:rsid w:val="7D1C7EA0"/>
    <w:rsid w:val="7D2A35D5"/>
    <w:rsid w:val="7D345976"/>
    <w:rsid w:val="7D4C1C46"/>
    <w:rsid w:val="7D5B3E9F"/>
    <w:rsid w:val="7D5B5B2B"/>
    <w:rsid w:val="7D8F4F8D"/>
    <w:rsid w:val="7DA15D86"/>
    <w:rsid w:val="7DA47874"/>
    <w:rsid w:val="7DAC49C4"/>
    <w:rsid w:val="7DB168E1"/>
    <w:rsid w:val="7DB44FBE"/>
    <w:rsid w:val="7DB704CD"/>
    <w:rsid w:val="7DC26A8B"/>
    <w:rsid w:val="7DC64605"/>
    <w:rsid w:val="7DCF7966"/>
    <w:rsid w:val="7DDD0501"/>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65AAB"/>
    <w:rsid w:val="7EDE3D14"/>
    <w:rsid w:val="7EE64951"/>
    <w:rsid w:val="7EE668F7"/>
    <w:rsid w:val="7EEE3EAD"/>
    <w:rsid w:val="7EF00330"/>
    <w:rsid w:val="7EF834F3"/>
    <w:rsid w:val="7F057F83"/>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75650"/>
    <w:rsid w:val="7F8A68D8"/>
    <w:rsid w:val="7FA22782"/>
    <w:rsid w:val="7FA522BC"/>
    <w:rsid w:val="7FBA19A1"/>
    <w:rsid w:val="7FC90A85"/>
    <w:rsid w:val="7FDC7B8D"/>
    <w:rsid w:val="7FE110E5"/>
    <w:rsid w:val="7FE854D1"/>
    <w:rsid w:val="7FEA49BA"/>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148</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2024-04-08T11:36:08Z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